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FEE01" w14:textId="4D792DED" w:rsidR="007E53A1" w:rsidRPr="00526EA8" w:rsidRDefault="007E53A1" w:rsidP="00526EA8">
      <w:pPr>
        <w:pStyle w:val="Title"/>
        <w:suppressLineNumbers/>
        <w:spacing w:before="120"/>
        <w:rPr>
          <w:u w:val="none"/>
        </w:rPr>
      </w:pPr>
      <w:bookmarkStart w:id="0" w:name="_GoBack"/>
      <w:bookmarkEnd w:id="0"/>
      <w:r w:rsidRPr="005F19CB">
        <w:rPr>
          <w:u w:val="none"/>
        </w:rPr>
        <w:t>DIRECT TESTIMONY OF</w:t>
      </w:r>
      <w:r w:rsidR="00526EA8">
        <w:rPr>
          <w:u w:val="none"/>
        </w:rPr>
        <w:t xml:space="preserve"> </w:t>
      </w:r>
      <w:r w:rsidR="009B34B9">
        <w:rPr>
          <w:u w:val="none"/>
        </w:rPr>
        <w:t xml:space="preserve">W. </w:t>
      </w:r>
      <w:r w:rsidR="00526EA8" w:rsidRPr="00526EA8">
        <w:rPr>
          <w:u w:val="none"/>
        </w:rPr>
        <w:t>PAUL BOWERS</w:t>
      </w:r>
    </w:p>
    <w:p w14:paraId="491A7A8C" w14:textId="77777777" w:rsidR="007E53A1" w:rsidRDefault="007E53A1">
      <w:pPr>
        <w:suppressLineNumbers/>
        <w:spacing w:before="120" w:after="120"/>
        <w:jc w:val="center"/>
        <w:outlineLvl w:val="0"/>
        <w:rPr>
          <w:b/>
        </w:rPr>
      </w:pPr>
      <w:r w:rsidRPr="005F19CB">
        <w:rPr>
          <w:b/>
        </w:rPr>
        <w:t xml:space="preserve">ON BEHALF OF </w:t>
      </w:r>
    </w:p>
    <w:p w14:paraId="17DC3310" w14:textId="77777777" w:rsidR="007E53A1" w:rsidRDefault="007E53A1">
      <w:pPr>
        <w:suppressLineNumbers/>
        <w:spacing w:before="120" w:after="120"/>
        <w:jc w:val="center"/>
        <w:outlineLvl w:val="0"/>
        <w:rPr>
          <w:b/>
        </w:rPr>
      </w:pPr>
      <w:r w:rsidRPr="005F19CB">
        <w:rPr>
          <w:b/>
        </w:rPr>
        <w:t>GEORGIA POWER COMPANY</w:t>
      </w:r>
    </w:p>
    <w:p w14:paraId="759FBD5C" w14:textId="77777777" w:rsidR="007E53A1" w:rsidRPr="005F19CB" w:rsidRDefault="007E53A1">
      <w:pPr>
        <w:suppressLineNumbers/>
        <w:spacing w:before="120" w:after="120"/>
        <w:jc w:val="center"/>
        <w:outlineLvl w:val="0"/>
        <w:rPr>
          <w:b/>
        </w:rPr>
      </w:pPr>
    </w:p>
    <w:p w14:paraId="0C305661" w14:textId="77777777" w:rsidR="007E53A1" w:rsidRPr="005F19CB" w:rsidRDefault="007E53A1">
      <w:pPr>
        <w:suppressLineNumbers/>
        <w:spacing w:before="120" w:after="120"/>
        <w:jc w:val="center"/>
        <w:outlineLvl w:val="0"/>
        <w:rPr>
          <w:b/>
        </w:rPr>
      </w:pPr>
      <w:r w:rsidRPr="005F19CB">
        <w:rPr>
          <w:b/>
        </w:rPr>
        <w:t xml:space="preserve">DOCKET NO. </w:t>
      </w:r>
      <w:r>
        <w:rPr>
          <w:b/>
        </w:rPr>
        <w:t>42516</w:t>
      </w:r>
    </w:p>
    <w:p w14:paraId="356E86B4" w14:textId="77777777" w:rsidR="007E53A1" w:rsidRPr="005F19CB" w:rsidRDefault="007E53A1" w:rsidP="007E53A1">
      <w:pPr>
        <w:suppressLineNumbers/>
        <w:spacing w:after="120"/>
        <w:jc w:val="center"/>
        <w:rPr>
          <w:b/>
        </w:rPr>
      </w:pPr>
    </w:p>
    <w:p w14:paraId="6C327B75" w14:textId="77777777" w:rsidR="007E53A1" w:rsidRPr="00334F9A" w:rsidRDefault="007E53A1" w:rsidP="00B31B75">
      <w:pPr>
        <w:pStyle w:val="ListParagraph"/>
        <w:numPr>
          <w:ilvl w:val="0"/>
          <w:numId w:val="1"/>
        </w:numPr>
        <w:suppressLineNumbers/>
        <w:spacing w:after="240" w:line="360" w:lineRule="auto"/>
        <w:jc w:val="center"/>
        <w:rPr>
          <w:b/>
        </w:rPr>
      </w:pPr>
      <w:r w:rsidRPr="00334F9A">
        <w:rPr>
          <w:b/>
          <w:u w:val="single"/>
        </w:rPr>
        <w:t>INTRODUCTION</w:t>
      </w:r>
    </w:p>
    <w:p w14:paraId="67B73010" w14:textId="77777777" w:rsidR="007E53A1" w:rsidRPr="005F19CB" w:rsidRDefault="007E53A1" w:rsidP="0060577C">
      <w:pPr>
        <w:spacing w:line="360" w:lineRule="auto"/>
        <w:jc w:val="both"/>
        <w:rPr>
          <w:b/>
        </w:rPr>
      </w:pPr>
      <w:r w:rsidRPr="005F19CB">
        <w:rPr>
          <w:b/>
        </w:rPr>
        <w:t>Q.</w:t>
      </w:r>
      <w:r w:rsidRPr="005F19CB">
        <w:rPr>
          <w:b/>
        </w:rPr>
        <w:tab/>
        <w:t>PLEASE STATE YOUR NAME, TITLE, AND BUSINESS ADDRESS.</w:t>
      </w:r>
    </w:p>
    <w:p w14:paraId="79BBB9B0" w14:textId="0208F770" w:rsidR="007E53A1" w:rsidRDefault="007E53A1" w:rsidP="0060577C">
      <w:pPr>
        <w:spacing w:line="360" w:lineRule="auto"/>
        <w:ind w:left="720" w:hanging="720"/>
        <w:jc w:val="both"/>
      </w:pPr>
      <w:r w:rsidRPr="005F19CB">
        <w:t>A.</w:t>
      </w:r>
      <w:r w:rsidRPr="005F19CB">
        <w:tab/>
      </w:r>
      <w:r w:rsidR="009B34B9">
        <w:t xml:space="preserve">W. </w:t>
      </w:r>
      <w:r w:rsidR="00163C8E">
        <w:t>Paul Bowers.  I am the Chairman, President and Chief Executive Officer of Georgia Power Company</w:t>
      </w:r>
      <w:r w:rsidR="00A3703C">
        <w:t xml:space="preserve"> (“Georgia Power” or the “Company”)</w:t>
      </w:r>
      <w:r w:rsidR="00163C8E">
        <w:t>.  My business address is 241 Ralph McGill Boulevard, Atlanta, Georgia</w:t>
      </w:r>
      <w:r w:rsidR="003F179F">
        <w:t>,</w:t>
      </w:r>
      <w:r w:rsidR="00163C8E">
        <w:t xml:space="preserve"> 30308.</w:t>
      </w:r>
    </w:p>
    <w:p w14:paraId="31CF9A03" w14:textId="77777777" w:rsidR="007E53A1" w:rsidRDefault="007E53A1" w:rsidP="0060577C">
      <w:pPr>
        <w:spacing w:line="360" w:lineRule="auto"/>
        <w:ind w:left="720" w:hanging="720"/>
        <w:jc w:val="both"/>
      </w:pPr>
    </w:p>
    <w:p w14:paraId="04542F59" w14:textId="77777777" w:rsidR="00526EA8" w:rsidRDefault="00526EA8" w:rsidP="0060577C">
      <w:pPr>
        <w:spacing w:line="360" w:lineRule="auto"/>
        <w:ind w:left="720" w:hanging="720"/>
        <w:jc w:val="both"/>
      </w:pPr>
      <w:r>
        <w:rPr>
          <w:b/>
        </w:rPr>
        <w:t>Q.</w:t>
      </w:r>
      <w:r>
        <w:rPr>
          <w:b/>
        </w:rPr>
        <w:tab/>
        <w:t xml:space="preserve">MR. BOWERS, </w:t>
      </w:r>
      <w:r>
        <w:rPr>
          <w:b/>
          <w:bCs/>
        </w:rPr>
        <w:t>PLEASE SUMMARIZE YOUR EDUCATION AND PROFESSIONAL EXPERIENCE.</w:t>
      </w:r>
    </w:p>
    <w:p w14:paraId="4ED4494A" w14:textId="43FFE5AD" w:rsidR="002B7933" w:rsidRDefault="00526EA8" w:rsidP="002B7933">
      <w:pPr>
        <w:spacing w:line="360" w:lineRule="auto"/>
        <w:ind w:left="720" w:hanging="720"/>
        <w:jc w:val="both"/>
      </w:pPr>
      <w:r w:rsidRPr="00526EA8">
        <w:t>A.</w:t>
      </w:r>
      <w:r>
        <w:rPr>
          <w:b/>
        </w:rPr>
        <w:tab/>
      </w:r>
      <w:r>
        <w:t xml:space="preserve">I received my Bachelor of Science degree from the University of West Florida and a master’s degree from Troy University.  I am also a Harvard Business School </w:t>
      </w:r>
      <w:r w:rsidR="00A3703C">
        <w:t>A</w:t>
      </w:r>
      <w:r w:rsidR="009B34B9">
        <w:t>MP</w:t>
      </w:r>
      <w:r w:rsidR="00A3703C">
        <w:t xml:space="preserve"> </w:t>
      </w:r>
      <w:r>
        <w:t>graduate. I joined the Southern Company system at Gulf Power</w:t>
      </w:r>
      <w:r w:rsidR="00A3703C">
        <w:t xml:space="preserve"> Company</w:t>
      </w:r>
      <w:r>
        <w:t xml:space="preserve"> in 1979 and have held executive leadership positions at multiple </w:t>
      </w:r>
      <w:r w:rsidR="00F9120D">
        <w:t xml:space="preserve">Southern Company </w:t>
      </w:r>
      <w:r>
        <w:t>subsidiaries. Over a 40-year career, I have held 14 different positions of increasing responsibility</w:t>
      </w:r>
      <w:r w:rsidR="0046553F">
        <w:t xml:space="preserve"> and </w:t>
      </w:r>
      <w:r w:rsidR="00613CD7">
        <w:t xml:space="preserve">have </w:t>
      </w:r>
      <w:r w:rsidR="00253629">
        <w:t>been in</w:t>
      </w:r>
      <w:r w:rsidR="00613CD7">
        <w:t xml:space="preserve"> </w:t>
      </w:r>
      <w:r>
        <w:t xml:space="preserve">my current position since </w:t>
      </w:r>
      <w:r w:rsidR="00CA68EB">
        <w:t>Jan</w:t>
      </w:r>
      <w:r w:rsidR="006C52CF">
        <w:t>uary</w:t>
      </w:r>
      <w:r w:rsidR="00CA68EB">
        <w:t xml:space="preserve"> 1, </w:t>
      </w:r>
      <w:r>
        <w:t>2011.</w:t>
      </w:r>
      <w:r w:rsidR="00BD752E">
        <w:t xml:space="preserve">  </w:t>
      </w:r>
      <w:r>
        <w:t>Prior to moving into this role, I held several senior officer positions within the Southern Company system, including</w:t>
      </w:r>
      <w:r w:rsidR="00F9120D">
        <w:t>:</w:t>
      </w:r>
      <w:r>
        <w:t xml:space="preserve"> </w:t>
      </w:r>
      <w:r w:rsidR="00F9120D">
        <w:t xml:space="preserve">Chief Financial Officer </w:t>
      </w:r>
      <w:r>
        <w:t>of Southern Company</w:t>
      </w:r>
      <w:r w:rsidR="00F9120D">
        <w:t xml:space="preserve">; President </w:t>
      </w:r>
      <w:r>
        <w:t>of Southern Company Generation</w:t>
      </w:r>
      <w:r w:rsidR="00F9120D">
        <w:t xml:space="preserve">; Chief Executive Officer </w:t>
      </w:r>
      <w:r>
        <w:t>of Southern Power</w:t>
      </w:r>
      <w:r w:rsidR="00F9120D">
        <w:t xml:space="preserve"> Company; </w:t>
      </w:r>
      <w:r>
        <w:t xml:space="preserve">and </w:t>
      </w:r>
      <w:r w:rsidR="00CA68EB">
        <w:t xml:space="preserve">Chairman, </w:t>
      </w:r>
      <w:r w:rsidR="00F9120D">
        <w:t xml:space="preserve">President </w:t>
      </w:r>
      <w:r>
        <w:t xml:space="preserve">and CEO of South Western Electricity LLC (Southern Company’s former U.K. subsidiary), </w:t>
      </w:r>
      <w:r w:rsidR="0014733A">
        <w:t>which</w:t>
      </w:r>
      <w:r w:rsidR="00DB083A">
        <w:t xml:space="preserve"> later transformed </w:t>
      </w:r>
      <w:r w:rsidR="00DB083A">
        <w:lastRenderedPageBreak/>
        <w:t>into a distribution-only utility known as Western Power Distribution i</w:t>
      </w:r>
      <w:r w:rsidR="00B164D5">
        <w:t xml:space="preserve">n </w:t>
      </w:r>
      <w:r w:rsidR="00EE4194">
        <w:t>Southwest England</w:t>
      </w:r>
      <w:r w:rsidR="00B164D5">
        <w:t xml:space="preserve"> and Wales</w:t>
      </w:r>
      <w:r w:rsidR="00EE4194">
        <w:t xml:space="preserve">. </w:t>
      </w:r>
      <w:r w:rsidR="002B7933">
        <w:br w:type="page"/>
      </w:r>
    </w:p>
    <w:p w14:paraId="15253C13" w14:textId="4D79A5A3" w:rsidR="00526EA8" w:rsidRPr="0060577C" w:rsidRDefault="00526EA8" w:rsidP="00360AE4">
      <w:pPr>
        <w:spacing w:line="360" w:lineRule="auto"/>
        <w:ind w:left="720" w:hanging="720"/>
        <w:jc w:val="both"/>
        <w:rPr>
          <w:b/>
        </w:rPr>
      </w:pPr>
      <w:r w:rsidRPr="0060577C">
        <w:rPr>
          <w:b/>
        </w:rPr>
        <w:lastRenderedPageBreak/>
        <w:t>Q.</w:t>
      </w:r>
      <w:r w:rsidRPr="0060577C">
        <w:rPr>
          <w:b/>
        </w:rPr>
        <w:tab/>
        <w:t>MR. BOWERS, HAVE YOU PREVIOUSLY TESTIFIED BEFORE THE GEORGIA PUBLIC SERVICE COMMISSION</w:t>
      </w:r>
      <w:r w:rsidR="00365A70">
        <w:rPr>
          <w:b/>
        </w:rPr>
        <w:t xml:space="preserve"> (“COMMISSION”)</w:t>
      </w:r>
      <w:r w:rsidRPr="0060577C">
        <w:rPr>
          <w:b/>
        </w:rPr>
        <w:t>?</w:t>
      </w:r>
    </w:p>
    <w:p w14:paraId="507E7440" w14:textId="7204D8DC" w:rsidR="00526EA8" w:rsidRDefault="00526EA8" w:rsidP="00F9120D">
      <w:pPr>
        <w:spacing w:line="360" w:lineRule="auto"/>
        <w:ind w:left="720" w:hanging="720"/>
        <w:jc w:val="both"/>
      </w:pPr>
      <w:r>
        <w:t>A.</w:t>
      </w:r>
      <w:r>
        <w:tab/>
        <w:t xml:space="preserve">Yes. </w:t>
      </w:r>
      <w:r w:rsidR="001D37D2">
        <w:t xml:space="preserve">I testified in </w:t>
      </w:r>
      <w:r w:rsidR="0014318F">
        <w:t xml:space="preserve">the direct and rebuttal phases of </w:t>
      </w:r>
      <w:r w:rsidR="00750492" w:rsidRPr="00750492">
        <w:t xml:space="preserve">the </w:t>
      </w:r>
      <w:r w:rsidR="00750492">
        <w:t xml:space="preserve">Company’s </w:t>
      </w:r>
      <w:r w:rsidR="00750492" w:rsidRPr="00750492">
        <w:t xml:space="preserve">1991 rate case </w:t>
      </w:r>
      <w:r w:rsidR="00750492" w:rsidRPr="005C5BBC">
        <w:t>(D</w:t>
      </w:r>
      <w:r w:rsidR="005C5BBC" w:rsidRPr="005C5BBC">
        <w:t>ocket</w:t>
      </w:r>
      <w:r w:rsidR="00750492" w:rsidRPr="005C5BBC">
        <w:t xml:space="preserve"> No. </w:t>
      </w:r>
      <w:r w:rsidR="005C5BBC" w:rsidRPr="005C5BBC">
        <w:t>4007-U</w:t>
      </w:r>
      <w:r w:rsidR="00750492" w:rsidRPr="005C5BBC">
        <w:t>)</w:t>
      </w:r>
      <w:r w:rsidR="00750492">
        <w:t xml:space="preserve"> as well as the</w:t>
      </w:r>
      <w:r w:rsidR="00EC1291">
        <w:t xml:space="preserve"> 1992 I</w:t>
      </w:r>
      <w:r w:rsidR="008A2BC9">
        <w:t xml:space="preserve">ntegrated </w:t>
      </w:r>
      <w:r w:rsidR="00542780">
        <w:t>R</w:t>
      </w:r>
      <w:r w:rsidR="008A2BC9">
        <w:t xml:space="preserve">esource </w:t>
      </w:r>
      <w:r w:rsidR="00542780">
        <w:t>P</w:t>
      </w:r>
      <w:r w:rsidR="008A2BC9">
        <w:t>lan (“IRP”)</w:t>
      </w:r>
      <w:r w:rsidR="00EC1291">
        <w:t xml:space="preserve"> </w:t>
      </w:r>
      <w:r w:rsidR="00830A03">
        <w:t>(Docket</w:t>
      </w:r>
      <w:r w:rsidR="00F9120D">
        <w:t xml:space="preserve"> No.</w:t>
      </w:r>
      <w:r w:rsidR="00830A03">
        <w:t xml:space="preserve"> 4131)</w:t>
      </w:r>
      <w:r w:rsidR="00CA68EB">
        <w:t xml:space="preserve"> </w:t>
      </w:r>
      <w:r w:rsidR="00750492">
        <w:t xml:space="preserve">and </w:t>
      </w:r>
      <w:r w:rsidR="00EC1291">
        <w:t xml:space="preserve">the direct and rebuttal phases of the </w:t>
      </w:r>
      <w:r w:rsidR="0014318F" w:rsidRPr="00EC1291">
        <w:t>1993 Certification of Commercial and Industrial Demand-Side Programs</w:t>
      </w:r>
      <w:r w:rsidR="00830A03">
        <w:t xml:space="preserve"> (Docket</w:t>
      </w:r>
      <w:r w:rsidR="00F9120D">
        <w:t xml:space="preserve"> No.</w:t>
      </w:r>
      <w:r w:rsidR="00830A03">
        <w:t xml:space="preserve"> 4132)</w:t>
      </w:r>
      <w:r w:rsidR="00750492">
        <w:t>.</w:t>
      </w:r>
      <w:r w:rsidR="00CA68EB">
        <w:t xml:space="preserve"> </w:t>
      </w:r>
      <w:r w:rsidR="0062740A" w:rsidRPr="0062740A">
        <w:t xml:space="preserve">I </w:t>
      </w:r>
      <w:r w:rsidR="0062740A">
        <w:t xml:space="preserve">also </w:t>
      </w:r>
      <w:r w:rsidR="0062740A" w:rsidRPr="0062740A">
        <w:t xml:space="preserve">appeared before this Commission regarding the Seventeenth Semi-Annual Vogtle Construction Monitoring (“VCM”) Report </w:t>
      </w:r>
      <w:r w:rsidR="00542780">
        <w:t>(</w:t>
      </w:r>
      <w:r w:rsidR="0062740A" w:rsidRPr="0062740A">
        <w:t>Docket No. 29849</w:t>
      </w:r>
      <w:r w:rsidR="00542780">
        <w:t>)</w:t>
      </w:r>
      <w:r w:rsidR="0062740A" w:rsidRPr="0062740A">
        <w:t>.</w:t>
      </w:r>
      <w:r w:rsidR="00CA68EB">
        <w:t xml:space="preserve">  Additionally, I </w:t>
      </w:r>
      <w:r w:rsidR="00C06E23">
        <w:t xml:space="preserve">have </w:t>
      </w:r>
      <w:r w:rsidR="00CA68EB">
        <w:t xml:space="preserve">appeared before other </w:t>
      </w:r>
      <w:r w:rsidR="00542780">
        <w:t>s</w:t>
      </w:r>
      <w:r w:rsidR="00CA68EB">
        <w:t xml:space="preserve">tate and </w:t>
      </w:r>
      <w:r w:rsidR="00542780">
        <w:t>f</w:t>
      </w:r>
      <w:r w:rsidR="00CA68EB">
        <w:t>ederal regulatory bodie</w:t>
      </w:r>
      <w:r w:rsidR="00DB083A">
        <w:t>s, as well as congressional committees,</w:t>
      </w:r>
      <w:r w:rsidR="00CA68EB">
        <w:t xml:space="preserve"> to provide testimony on various topics.</w:t>
      </w:r>
    </w:p>
    <w:p w14:paraId="1E3EA2CE" w14:textId="77777777" w:rsidR="0060577C" w:rsidRPr="00526EA8" w:rsidRDefault="0060577C" w:rsidP="002C0C2F">
      <w:pPr>
        <w:spacing w:line="360" w:lineRule="auto"/>
        <w:ind w:left="720" w:hanging="720"/>
        <w:jc w:val="both"/>
        <w:rPr>
          <w:b/>
        </w:rPr>
      </w:pPr>
    </w:p>
    <w:p w14:paraId="63F86D5C" w14:textId="77777777" w:rsidR="007E53A1" w:rsidRPr="0060577C" w:rsidRDefault="0060577C" w:rsidP="00AF61FE">
      <w:pPr>
        <w:spacing w:line="360" w:lineRule="auto"/>
        <w:jc w:val="both"/>
        <w:rPr>
          <w:b/>
        </w:rPr>
      </w:pPr>
      <w:r w:rsidRPr="0060577C">
        <w:rPr>
          <w:b/>
        </w:rPr>
        <w:t>Q.</w:t>
      </w:r>
      <w:r w:rsidRPr="0060577C">
        <w:rPr>
          <w:b/>
        </w:rPr>
        <w:tab/>
        <w:t>WHAT IS THE PURPOSE OF YOUR TESTIMONY?</w:t>
      </w:r>
    </w:p>
    <w:p w14:paraId="23627228" w14:textId="7BB8DD68" w:rsidR="00F9120D" w:rsidRDefault="0060577C" w:rsidP="009B34B9">
      <w:pPr>
        <w:spacing w:line="360" w:lineRule="auto"/>
        <w:ind w:left="720" w:hanging="720"/>
        <w:jc w:val="both"/>
      </w:pPr>
      <w:r>
        <w:t>A.</w:t>
      </w:r>
      <w:r>
        <w:tab/>
      </w:r>
      <w:r w:rsidR="007D5B4B">
        <w:t xml:space="preserve">The purpose of my testimony is to give </w:t>
      </w:r>
      <w:r w:rsidR="00CA68EB">
        <w:t>an</w:t>
      </w:r>
      <w:r w:rsidR="007D5B4B">
        <w:t xml:space="preserve"> overview and background of </w:t>
      </w:r>
      <w:r w:rsidR="00CA68EB">
        <w:t xml:space="preserve">this rate </w:t>
      </w:r>
      <w:r w:rsidR="007D5B4B">
        <w:t>filing</w:t>
      </w:r>
      <w:r w:rsidR="006D2B79">
        <w:t xml:space="preserve">.  </w:t>
      </w:r>
      <w:r w:rsidR="00F7250A">
        <w:t>Georgia is well recognized as the best state in which to do business</w:t>
      </w:r>
      <w:r w:rsidR="00F9120D">
        <w:t>.</w:t>
      </w:r>
      <w:r w:rsidR="00F7250A">
        <w:t xml:space="preserve"> </w:t>
      </w:r>
      <w:r w:rsidR="00F9120D">
        <w:t>T</w:t>
      </w:r>
      <w:r w:rsidR="00F7250A">
        <w:t>here are a lot of factors</w:t>
      </w:r>
      <w:r w:rsidR="00DB083A">
        <w:t xml:space="preserve"> </w:t>
      </w:r>
      <w:r w:rsidR="00F7250A">
        <w:t>that make that a reality but no</w:t>
      </w:r>
      <w:r w:rsidR="00830A03">
        <w:t>t</w:t>
      </w:r>
      <w:r w:rsidR="00F7250A">
        <w:t xml:space="preserve"> the least of which is the </w:t>
      </w:r>
      <w:r w:rsidR="00826EEB">
        <w:t xml:space="preserve">constructive regulatory policies of this Commission over the past decades.  Those policies have allowed Georgia Power to continue to deliver </w:t>
      </w:r>
      <w:r w:rsidR="00F9120D">
        <w:t xml:space="preserve">clean, </w:t>
      </w:r>
      <w:r w:rsidR="00826EEB">
        <w:t>safe, re</w:t>
      </w:r>
      <w:r w:rsidR="00657F92">
        <w:t>liable</w:t>
      </w:r>
      <w:r w:rsidR="00826EEB">
        <w:t xml:space="preserve"> and </w:t>
      </w:r>
      <w:r w:rsidR="00F9120D">
        <w:t>affordable</w:t>
      </w:r>
      <w:r w:rsidR="00826EEB">
        <w:t xml:space="preserve"> </w:t>
      </w:r>
      <w:r w:rsidR="00060294">
        <w:t>energy</w:t>
      </w:r>
      <w:r w:rsidR="00F9120D">
        <w:t>,</w:t>
      </w:r>
      <w:r w:rsidR="00060294">
        <w:t xml:space="preserve"> which is the backbone of Georgia’s economy and </w:t>
      </w:r>
      <w:r w:rsidR="00830A03">
        <w:t>well-being</w:t>
      </w:r>
      <w:r w:rsidR="00060294">
        <w:t xml:space="preserve">.  Electricity is an essential part of our daily lives.  It is with this in mind that </w:t>
      </w:r>
      <w:r w:rsidR="00BD752E">
        <w:t>Georgia Power</w:t>
      </w:r>
      <w:r w:rsidR="00060294">
        <w:t xml:space="preserve"> make</w:t>
      </w:r>
      <w:r w:rsidR="00BD752E">
        <w:t>s</w:t>
      </w:r>
      <w:r w:rsidR="00060294">
        <w:t xml:space="preserve"> </w:t>
      </w:r>
      <w:r w:rsidR="00BD752E">
        <w:t>this</w:t>
      </w:r>
      <w:r w:rsidR="00060294">
        <w:t xml:space="preserve"> fili</w:t>
      </w:r>
      <w:r w:rsidR="002C258C">
        <w:t>ng</w:t>
      </w:r>
      <w:r w:rsidR="00060294">
        <w:t>.</w:t>
      </w:r>
    </w:p>
    <w:p w14:paraId="7FB6D559" w14:textId="77777777" w:rsidR="00913F90" w:rsidRDefault="00913F90" w:rsidP="00AF61FE">
      <w:pPr>
        <w:spacing w:line="360" w:lineRule="auto"/>
        <w:ind w:left="720"/>
        <w:jc w:val="both"/>
      </w:pPr>
    </w:p>
    <w:p w14:paraId="4084B32D" w14:textId="743BCC77" w:rsidR="002B7933" w:rsidRDefault="00B27F88" w:rsidP="002B7933">
      <w:pPr>
        <w:spacing w:line="360" w:lineRule="auto"/>
        <w:ind w:left="720"/>
        <w:jc w:val="both"/>
      </w:pPr>
      <w:bookmarkStart w:id="1" w:name="_Hlk11138429"/>
      <w:r w:rsidRPr="00363E6B">
        <w:t xml:space="preserve">We </w:t>
      </w:r>
      <w:r w:rsidR="00060294" w:rsidRPr="00363E6B">
        <w:t xml:space="preserve">fully recognize that </w:t>
      </w:r>
      <w:r w:rsidRPr="00363E6B">
        <w:t>we are</w:t>
      </w:r>
      <w:r w:rsidR="00060294" w:rsidRPr="00363E6B">
        <w:t xml:space="preserve"> </w:t>
      </w:r>
      <w:r w:rsidR="00830A03" w:rsidRPr="00363E6B">
        <w:t>asking</w:t>
      </w:r>
      <w:r w:rsidR="00060294" w:rsidRPr="00363E6B">
        <w:t xml:space="preserve"> our customers to pay more for electricit</w:t>
      </w:r>
      <w:r w:rsidR="00CA68EB" w:rsidRPr="00363E6B">
        <w:t>y</w:t>
      </w:r>
      <w:r w:rsidR="00363E6B" w:rsidRPr="00363E6B">
        <w:t xml:space="preserve">, which is </w:t>
      </w:r>
      <w:r w:rsidR="00613CD7">
        <w:t xml:space="preserve">an </w:t>
      </w:r>
      <w:r w:rsidR="00363E6B" w:rsidRPr="00363E6B">
        <w:t>essential</w:t>
      </w:r>
      <w:r w:rsidR="00613CD7">
        <w:t xml:space="preserve"> service</w:t>
      </w:r>
      <w:r w:rsidR="00363E6B" w:rsidRPr="00363E6B">
        <w:t>,</w:t>
      </w:r>
      <w:r w:rsidR="009B34B9" w:rsidRPr="00363E6B">
        <w:t xml:space="preserve"> and</w:t>
      </w:r>
      <w:r w:rsidR="001439B9" w:rsidRPr="00363E6B">
        <w:t xml:space="preserve"> </w:t>
      </w:r>
      <w:r w:rsidRPr="00363E6B">
        <w:t>realize</w:t>
      </w:r>
      <w:r w:rsidR="00060294" w:rsidRPr="00363E6B">
        <w:t xml:space="preserve"> this </w:t>
      </w:r>
      <w:r w:rsidR="00DB083A">
        <w:t xml:space="preserve">can </w:t>
      </w:r>
      <w:r w:rsidR="00060294" w:rsidRPr="00363E6B">
        <w:t>place</w:t>
      </w:r>
      <w:r w:rsidR="00DB083A">
        <w:t xml:space="preserve"> a burden</w:t>
      </w:r>
      <w:r w:rsidR="00060294" w:rsidRPr="00363E6B">
        <w:t xml:space="preserve"> on our customers, especially those who are already financially challenged. </w:t>
      </w:r>
      <w:r w:rsidR="00363E6B">
        <w:t xml:space="preserve"> </w:t>
      </w:r>
      <w:r w:rsidR="008A2BC9">
        <w:t xml:space="preserve">While we strive to be efficient and minimize any cost increase for customers, it has been six years since our last rate case and our current base rates are no longer sufficient to allow the Company to recover the costs necessary to </w:t>
      </w:r>
      <w:r w:rsidR="008A2BC9">
        <w:lastRenderedPageBreak/>
        <w:t>continue providing safe, reliable electric service to our customers while maintaining high levels of customer service</w:t>
      </w:r>
      <w:r w:rsidR="001B7D34">
        <w:t>.</w:t>
      </w:r>
      <w:bookmarkEnd w:id="1"/>
      <w:r w:rsidR="002B7933">
        <w:br w:type="page"/>
      </w:r>
    </w:p>
    <w:p w14:paraId="3DDAA3C2" w14:textId="2085608F" w:rsidR="00060294" w:rsidRDefault="00CA68EB" w:rsidP="00AF61FE">
      <w:pPr>
        <w:spacing w:line="360" w:lineRule="auto"/>
        <w:ind w:left="720"/>
        <w:jc w:val="both"/>
      </w:pPr>
      <w:r w:rsidRPr="00CA68EB">
        <w:lastRenderedPageBreak/>
        <w:t xml:space="preserve">For nearly 30 years, </w:t>
      </w:r>
      <w:r w:rsidR="00F9120D" w:rsidRPr="00CA68EB">
        <w:t>the</w:t>
      </w:r>
      <w:r w:rsidR="00F9120D">
        <w:t xml:space="preserve"> Company’s</w:t>
      </w:r>
      <w:r w:rsidR="00060294">
        <w:t xml:space="preserve"> rates have </w:t>
      </w:r>
      <w:r>
        <w:t>increased less than the rate of</w:t>
      </w:r>
      <w:r w:rsidR="00060294">
        <w:t xml:space="preserve"> inflation</w:t>
      </w:r>
      <w:r w:rsidR="00830A03">
        <w:t xml:space="preserve">. This means </w:t>
      </w:r>
      <w:r w:rsidR="00060294">
        <w:t>that on an inflation</w:t>
      </w:r>
      <w:r w:rsidR="003C1275">
        <w:t>-</w:t>
      </w:r>
      <w:r w:rsidR="00060294">
        <w:t>adjusted basis</w:t>
      </w:r>
      <w:r w:rsidR="00B66E86">
        <w:t>,</w:t>
      </w:r>
      <w:r w:rsidR="00060294">
        <w:t xml:space="preserve"> </w:t>
      </w:r>
      <w:r w:rsidR="00060294" w:rsidRPr="00792BCF">
        <w:t>customers pay less today,</w:t>
      </w:r>
      <w:r w:rsidR="00060294">
        <w:t xml:space="preserve"> and will pay less after the requested increase, than they paid in</w:t>
      </w:r>
      <w:r>
        <w:t xml:space="preserve"> 1990. </w:t>
      </w:r>
      <w:r w:rsidR="00C90564">
        <w:t xml:space="preserve"> </w:t>
      </w:r>
      <w:r w:rsidR="00F9120D">
        <w:t>Georgia Power’s</w:t>
      </w:r>
      <w:r w:rsidR="00C90564">
        <w:t xml:space="preserve"> rates </w:t>
      </w:r>
      <w:r w:rsidR="0062740A">
        <w:t xml:space="preserve">are </w:t>
      </w:r>
      <w:r w:rsidR="00C90564">
        <w:t xml:space="preserve">16% below the national </w:t>
      </w:r>
      <w:r w:rsidR="009462C1">
        <w:t>average</w:t>
      </w:r>
      <w:r>
        <w:t xml:space="preserve"> and residential customers are </w:t>
      </w:r>
      <w:r w:rsidRPr="005C4E75">
        <w:t xml:space="preserve">paying less </w:t>
      </w:r>
      <w:r w:rsidR="00B339D8" w:rsidRPr="005C4E75">
        <w:t xml:space="preserve">than </w:t>
      </w:r>
      <w:r w:rsidR="00DB083A">
        <w:t>$</w:t>
      </w:r>
      <w:r w:rsidR="00B339D8" w:rsidRPr="005C4E75">
        <w:t xml:space="preserve">1 more </w:t>
      </w:r>
      <w:r w:rsidR="00613CD7">
        <w:t xml:space="preserve">per month </w:t>
      </w:r>
      <w:r w:rsidRPr="005C4E75">
        <w:t>today than they were in 2011</w:t>
      </w:r>
      <w:r w:rsidR="009462C1" w:rsidRPr="005C4E75">
        <w:t>.</w:t>
      </w:r>
      <w:r w:rsidR="009462C1">
        <w:t xml:space="preserve"> </w:t>
      </w:r>
      <w:r w:rsidR="00060294">
        <w:t xml:space="preserve">  I recognize </w:t>
      </w:r>
      <w:r w:rsidR="00295C7A">
        <w:t>those facts alone do not justify a rate increase</w:t>
      </w:r>
      <w:r w:rsidR="006C52CF">
        <w:t>,</w:t>
      </w:r>
      <w:r w:rsidR="00295C7A">
        <w:t xml:space="preserve"> and </w:t>
      </w:r>
      <w:r w:rsidR="00B27F88">
        <w:t>we</w:t>
      </w:r>
      <w:r w:rsidR="00BB29AF">
        <w:t xml:space="preserve"> </w:t>
      </w:r>
      <w:r w:rsidR="00060294">
        <w:t xml:space="preserve">owe our customers an </w:t>
      </w:r>
      <w:r w:rsidR="00AE44A4">
        <w:t xml:space="preserve">explanation </w:t>
      </w:r>
      <w:r w:rsidR="00B14749">
        <w:t xml:space="preserve">of </w:t>
      </w:r>
      <w:r w:rsidR="00AE44A4">
        <w:t xml:space="preserve">why </w:t>
      </w:r>
      <w:r w:rsidR="00342415">
        <w:t>Georgia Power</w:t>
      </w:r>
      <w:r w:rsidR="003E0DDD">
        <w:t xml:space="preserve"> </w:t>
      </w:r>
      <w:r w:rsidR="00342415">
        <w:t>is</w:t>
      </w:r>
      <w:r w:rsidR="0060143B">
        <w:t xml:space="preserve"> requesting </w:t>
      </w:r>
      <w:r w:rsidR="00DB083A">
        <w:t>this</w:t>
      </w:r>
      <w:r w:rsidR="0060143B">
        <w:t xml:space="preserve"> increase in </w:t>
      </w:r>
      <w:r w:rsidR="00342415">
        <w:t>rates</w:t>
      </w:r>
      <w:r w:rsidR="0060143B">
        <w:t>.</w:t>
      </w:r>
      <w:r w:rsidR="003E0DDD">
        <w:t xml:space="preserve">  My testimony is intended to begin that explanation</w:t>
      </w:r>
      <w:r>
        <w:t xml:space="preserve"> and to highlight what Georgia Power has done to operate more efficiently and minimize any impact on customers</w:t>
      </w:r>
      <w:r w:rsidR="003E0DDD">
        <w:t>.</w:t>
      </w:r>
    </w:p>
    <w:p w14:paraId="07C91E39" w14:textId="77777777" w:rsidR="0060577C" w:rsidRDefault="0060577C" w:rsidP="00AF61FE">
      <w:pPr>
        <w:spacing w:line="360" w:lineRule="auto"/>
        <w:jc w:val="both"/>
      </w:pPr>
    </w:p>
    <w:p w14:paraId="499934E4" w14:textId="77777777" w:rsidR="0060577C" w:rsidRPr="0060577C" w:rsidRDefault="0060577C" w:rsidP="00AF61FE">
      <w:pPr>
        <w:spacing w:line="360" w:lineRule="auto"/>
        <w:jc w:val="both"/>
        <w:rPr>
          <w:b/>
        </w:rPr>
      </w:pPr>
      <w:r w:rsidRPr="0060577C">
        <w:rPr>
          <w:b/>
        </w:rPr>
        <w:t>Q.</w:t>
      </w:r>
      <w:r w:rsidRPr="0060577C">
        <w:rPr>
          <w:b/>
        </w:rPr>
        <w:tab/>
        <w:t>PLEASE SUMMARIZE YOUR TESTIMONY.</w:t>
      </w:r>
    </w:p>
    <w:p w14:paraId="1B9D3EBE" w14:textId="3F86FE90" w:rsidR="00750492" w:rsidRDefault="0060577C" w:rsidP="00AF61FE">
      <w:pPr>
        <w:spacing w:line="360" w:lineRule="auto"/>
        <w:ind w:left="720" w:hanging="720"/>
        <w:jc w:val="both"/>
      </w:pPr>
      <w:r>
        <w:t>A.</w:t>
      </w:r>
      <w:r>
        <w:tab/>
      </w:r>
      <w:r w:rsidR="003638C5">
        <w:t xml:space="preserve">Since </w:t>
      </w:r>
      <w:r w:rsidR="00342415">
        <w:t>the</w:t>
      </w:r>
      <w:r w:rsidR="003638C5">
        <w:t xml:space="preserve"> last rate case six years ago, many factors affecting </w:t>
      </w:r>
      <w:r w:rsidR="00342415">
        <w:t>Georgia Power’s</w:t>
      </w:r>
      <w:r w:rsidR="003638C5">
        <w:t xml:space="preserve"> business have changed.  Some of those </w:t>
      </w:r>
      <w:r w:rsidR="00B27F88">
        <w:t xml:space="preserve">factors </w:t>
      </w:r>
      <w:r w:rsidR="003638C5">
        <w:t xml:space="preserve">have helped reduce </w:t>
      </w:r>
      <w:r w:rsidR="00830A03">
        <w:t>long-term</w:t>
      </w:r>
      <w:r w:rsidR="003638C5">
        <w:t xml:space="preserve"> costs</w:t>
      </w:r>
      <w:r w:rsidR="00750492">
        <w:t>. O</w:t>
      </w:r>
      <w:r w:rsidR="00F17D71">
        <w:t>thers</w:t>
      </w:r>
      <w:r w:rsidR="003638C5">
        <w:t xml:space="preserve"> have increased </w:t>
      </w:r>
      <w:r w:rsidR="00830A03">
        <w:t>long-term</w:t>
      </w:r>
      <w:r w:rsidR="003638C5">
        <w:t xml:space="preserve"> costs. While </w:t>
      </w:r>
      <w:r w:rsidR="00830A03">
        <w:t xml:space="preserve">factors </w:t>
      </w:r>
      <w:r w:rsidR="00526C55">
        <w:t xml:space="preserve">reducing </w:t>
      </w:r>
      <w:r w:rsidR="00342415">
        <w:t>the Compan</w:t>
      </w:r>
      <w:r w:rsidR="00785C82">
        <w:t>y’s</w:t>
      </w:r>
      <w:r w:rsidR="00526C55">
        <w:t xml:space="preserve"> costs are certainly welcome and have mitigated the size of </w:t>
      </w:r>
      <w:r w:rsidR="00962A8D">
        <w:t>the</w:t>
      </w:r>
      <w:r w:rsidR="00526C55">
        <w:t xml:space="preserve"> request in this case, they have not complete</w:t>
      </w:r>
      <w:r w:rsidR="00830A03">
        <w:t>ly</w:t>
      </w:r>
      <w:r w:rsidR="00526C55">
        <w:t xml:space="preserve"> offset those factors </w:t>
      </w:r>
      <w:r w:rsidR="003C1275">
        <w:t>that</w:t>
      </w:r>
      <w:r w:rsidR="00526C55">
        <w:t xml:space="preserve"> have increased our costs.</w:t>
      </w:r>
      <w:r w:rsidR="00830A03">
        <w:t xml:space="preserve">  </w:t>
      </w:r>
    </w:p>
    <w:p w14:paraId="64307D13" w14:textId="77777777" w:rsidR="00750492" w:rsidRDefault="00750492" w:rsidP="00AF61FE">
      <w:pPr>
        <w:spacing w:line="360" w:lineRule="auto"/>
        <w:ind w:left="720" w:hanging="720"/>
        <w:jc w:val="both"/>
      </w:pPr>
    </w:p>
    <w:p w14:paraId="63DD7FC8" w14:textId="772AC95D" w:rsidR="002B7933" w:rsidRDefault="00750492" w:rsidP="002B7933">
      <w:pPr>
        <w:spacing w:line="360" w:lineRule="auto"/>
        <w:ind w:left="720"/>
        <w:jc w:val="both"/>
      </w:pPr>
      <w:r>
        <w:t xml:space="preserve">There are several important factors that have reduced our long-term costs. </w:t>
      </w:r>
      <w:r w:rsidR="00C70169">
        <w:t xml:space="preserve">For instance, since </w:t>
      </w:r>
      <w:r w:rsidR="00962A8D">
        <w:t>Georgia Power’s</w:t>
      </w:r>
      <w:r w:rsidR="00C70169">
        <w:t xml:space="preserve"> last rate case in 2013, the Tax Cut</w:t>
      </w:r>
      <w:r w:rsidR="00911E6E">
        <w:t>s</w:t>
      </w:r>
      <w:r w:rsidR="00C70169">
        <w:t xml:space="preserve"> and Jobs Act</w:t>
      </w:r>
      <w:r w:rsidR="00342415">
        <w:t xml:space="preserve"> (“Tax</w:t>
      </w:r>
      <w:r w:rsidR="000A6725">
        <w:t xml:space="preserve"> Reform</w:t>
      </w:r>
      <w:r w:rsidR="00342415">
        <w:t xml:space="preserve"> Act”)</w:t>
      </w:r>
      <w:r w:rsidR="00C70169">
        <w:t xml:space="preserve"> </w:t>
      </w:r>
      <w:r w:rsidR="00C70169" w:rsidRPr="000D6ADB">
        <w:t xml:space="preserve">has </w:t>
      </w:r>
      <w:r w:rsidR="000D6ADB" w:rsidRPr="000D6ADB">
        <w:t xml:space="preserve">and will </w:t>
      </w:r>
      <w:r w:rsidR="00C70169" w:rsidRPr="000D6ADB">
        <w:t>provide</w:t>
      </w:r>
      <w:r w:rsidR="005F5E2B">
        <w:t xml:space="preserve"> nearly</w:t>
      </w:r>
      <w:r w:rsidR="00C70169" w:rsidRPr="000D6ADB">
        <w:t xml:space="preserve"> </w:t>
      </w:r>
      <w:r w:rsidR="006C52CF" w:rsidRPr="000D6ADB">
        <w:t>$</w:t>
      </w:r>
      <w:r w:rsidR="000D6ADB" w:rsidRPr="000D6ADB">
        <w:t>2.</w:t>
      </w:r>
      <w:r w:rsidR="005F5E2B">
        <w:t>5</w:t>
      </w:r>
      <w:r w:rsidR="006C52CF" w:rsidRPr="000D6ADB">
        <w:t xml:space="preserve"> </w:t>
      </w:r>
      <w:r w:rsidR="000D6ADB" w:rsidRPr="000D6ADB">
        <w:t>b</w:t>
      </w:r>
      <w:r w:rsidR="006C52CF" w:rsidRPr="000D6ADB">
        <w:t xml:space="preserve">illion </w:t>
      </w:r>
      <w:r w:rsidR="00C70169" w:rsidRPr="000D6ADB">
        <w:t>in benefit</w:t>
      </w:r>
      <w:r w:rsidR="0014733A">
        <w:t>s</w:t>
      </w:r>
      <w:r w:rsidR="00C70169" w:rsidRPr="000D6ADB">
        <w:t xml:space="preserve"> to customers.</w:t>
      </w:r>
      <w:r w:rsidR="00C70169">
        <w:t xml:space="preserve"> As a result of an agreement reached with this Commission and its Staff, much of </w:t>
      </w:r>
      <w:r w:rsidR="00342415">
        <w:t xml:space="preserve">the benefit from the Tax </w:t>
      </w:r>
      <w:r w:rsidR="006C52CF">
        <w:t xml:space="preserve">Reform </w:t>
      </w:r>
      <w:r w:rsidR="00342415" w:rsidRPr="00B87902">
        <w:t>Act</w:t>
      </w:r>
      <w:r w:rsidR="00C70169" w:rsidRPr="00B87902">
        <w:t xml:space="preserve"> has been </w:t>
      </w:r>
      <w:r w:rsidR="00342415" w:rsidRPr="00B87902">
        <w:t xml:space="preserve">directly </w:t>
      </w:r>
      <w:r w:rsidR="00C70169" w:rsidRPr="00B87902">
        <w:t xml:space="preserve">refunded to customers </w:t>
      </w:r>
      <w:r w:rsidR="00342415" w:rsidRPr="00B87902">
        <w:t>through</w:t>
      </w:r>
      <w:r w:rsidR="00C70169" w:rsidRPr="00B87902">
        <w:t xml:space="preserve"> bill credits</w:t>
      </w:r>
      <w:r w:rsidR="00B66E86">
        <w:t>,</w:t>
      </w:r>
      <w:r w:rsidR="00C70169" w:rsidRPr="00B87902">
        <w:t xml:space="preserve"> while the rest has </w:t>
      </w:r>
      <w:r w:rsidR="0019012A" w:rsidRPr="00B87902">
        <w:t>been included in the Company’s projections to mitigate the increase requested in this case.</w:t>
      </w:r>
      <w:bookmarkStart w:id="2" w:name="_Hlk11134183"/>
      <w:r w:rsidR="0019012A">
        <w:t xml:space="preserve"> </w:t>
      </w:r>
      <w:r w:rsidR="00465515">
        <w:t xml:space="preserve">The Company has </w:t>
      </w:r>
      <w:r w:rsidR="00962A8D">
        <w:t xml:space="preserve">also </w:t>
      </w:r>
      <w:r w:rsidR="0019012A">
        <w:t xml:space="preserve">proactively </w:t>
      </w:r>
      <w:r w:rsidR="00962A8D">
        <w:t>removed</w:t>
      </w:r>
      <w:r w:rsidR="00C70169">
        <w:t xml:space="preserve"> </w:t>
      </w:r>
      <w:r w:rsidR="00D7303C">
        <w:t>more tha</w:t>
      </w:r>
      <w:r w:rsidR="00D7303C" w:rsidRPr="000D6ADB">
        <w:t>n</w:t>
      </w:r>
      <w:r w:rsidR="00C70169" w:rsidRPr="000D6ADB">
        <w:t xml:space="preserve"> $</w:t>
      </w:r>
      <w:r w:rsidR="005F5E2B">
        <w:t>126</w:t>
      </w:r>
      <w:r w:rsidR="00C70169">
        <w:t xml:space="preserve"> million out of </w:t>
      </w:r>
      <w:r w:rsidR="00962A8D">
        <w:t>its operations</w:t>
      </w:r>
      <w:r w:rsidR="00465515">
        <w:t xml:space="preserve"> </w:t>
      </w:r>
      <w:r w:rsidR="00465515">
        <w:lastRenderedPageBreak/>
        <w:t>and maintenance (“</w:t>
      </w:r>
      <w:r w:rsidR="00C70169">
        <w:t>O&amp;M</w:t>
      </w:r>
      <w:r w:rsidR="00465515">
        <w:t>”)</w:t>
      </w:r>
      <w:r w:rsidR="00C70169">
        <w:t xml:space="preserve"> budgets since the last rate case</w:t>
      </w:r>
      <w:r w:rsidR="009141B3">
        <w:t xml:space="preserve"> </w:t>
      </w:r>
      <w:r w:rsidR="0019012A">
        <w:t xml:space="preserve">by leveraging technology in the way we do business and restructuring certain business units. This resulted in a net reduction in staffing levels by </w:t>
      </w:r>
      <w:r w:rsidR="00FE3529">
        <w:t xml:space="preserve">more than </w:t>
      </w:r>
      <w:r w:rsidR="0019012A">
        <w:t>1,</w:t>
      </w:r>
      <w:r w:rsidR="000D6ADB">
        <w:t>0</w:t>
      </w:r>
      <w:r w:rsidR="0019012A">
        <w:t>00</w:t>
      </w:r>
      <w:r w:rsidR="0019012A" w:rsidRPr="00424875">
        <w:t xml:space="preserve">.  </w:t>
      </w:r>
      <w:r w:rsidR="00424875" w:rsidRPr="00424875">
        <w:t>In fact</w:t>
      </w:r>
      <w:r w:rsidR="0019012A" w:rsidRPr="00424875">
        <w:t xml:space="preserve">, O&amp;M </w:t>
      </w:r>
      <w:r w:rsidR="00C70169" w:rsidRPr="00424875">
        <w:t>expenses are actually lower than the</w:t>
      </w:r>
      <w:r w:rsidR="00B66E86" w:rsidRPr="00424875">
        <w:t xml:space="preserve"> amount approved</w:t>
      </w:r>
      <w:r w:rsidR="00C70169" w:rsidRPr="00424875">
        <w:t xml:space="preserve"> in</w:t>
      </w:r>
      <w:r w:rsidR="00B66E86" w:rsidRPr="00424875">
        <w:t xml:space="preserve"> the</w:t>
      </w:r>
      <w:r w:rsidR="00C70169" w:rsidRPr="00424875">
        <w:t xml:space="preserve"> 2013 </w:t>
      </w:r>
      <w:r w:rsidR="00B66E86" w:rsidRPr="00424875">
        <w:t xml:space="preserve">rate case </w:t>
      </w:r>
      <w:r w:rsidR="00C70169" w:rsidRPr="00424875">
        <w:t>despite inflationary pressures.</w:t>
      </w:r>
      <w:r w:rsidR="00C70169">
        <w:t xml:space="preserve"> </w:t>
      </w:r>
      <w:r w:rsidR="0019012A">
        <w:t>O</w:t>
      </w:r>
      <w:r w:rsidR="00C70169">
        <w:t xml:space="preserve">ur purchase power </w:t>
      </w:r>
      <w:r w:rsidR="000D6ADB">
        <w:t xml:space="preserve">capacity </w:t>
      </w:r>
      <w:r w:rsidR="00C70169">
        <w:t xml:space="preserve">expenses are </w:t>
      </w:r>
      <w:r w:rsidR="0019012A">
        <w:t xml:space="preserve">also </w:t>
      </w:r>
      <w:r w:rsidR="00C70169">
        <w:t xml:space="preserve">lower by </w:t>
      </w:r>
      <w:r w:rsidR="0019012A">
        <w:t>more than</w:t>
      </w:r>
      <w:r w:rsidR="00C70169">
        <w:t xml:space="preserve"> </w:t>
      </w:r>
      <w:r w:rsidR="00C70169" w:rsidRPr="000D6ADB">
        <w:t>$130</w:t>
      </w:r>
      <w:r w:rsidR="00C70169">
        <w:t xml:space="preserve"> million.</w:t>
      </w:r>
      <w:bookmarkEnd w:id="2"/>
      <w:r w:rsidR="002B7933">
        <w:br w:type="page"/>
      </w:r>
    </w:p>
    <w:p w14:paraId="50A685BC" w14:textId="2CB8D5E8" w:rsidR="00C70169" w:rsidRDefault="005F5E2B" w:rsidP="00AF61FE">
      <w:pPr>
        <w:spacing w:line="360" w:lineRule="auto"/>
        <w:ind w:left="720"/>
        <w:jc w:val="both"/>
      </w:pPr>
      <w:r>
        <w:lastRenderedPageBreak/>
        <w:t xml:space="preserve">From 2014 through 2018, </w:t>
      </w:r>
      <w:r w:rsidR="00465515">
        <w:t>Georgia Power</w:t>
      </w:r>
      <w:r w:rsidR="00C70169">
        <w:t xml:space="preserve"> invested over </w:t>
      </w:r>
      <w:r w:rsidR="00C70169" w:rsidRPr="00AE0BF3">
        <w:t>$</w:t>
      </w:r>
      <w:r w:rsidR="000D6ADB" w:rsidRPr="00AE0BF3">
        <w:t xml:space="preserve">8.7 </w:t>
      </w:r>
      <w:r w:rsidR="00C70169" w:rsidRPr="00AE0BF3">
        <w:t>billion</w:t>
      </w:r>
      <w:r w:rsidR="00C70169">
        <w:t xml:space="preserve"> </w:t>
      </w:r>
      <w:r w:rsidR="00C70169" w:rsidRPr="005320BD">
        <w:t xml:space="preserve">in assets and infrastructure to </w:t>
      </w:r>
      <w:r w:rsidR="00C70169">
        <w:t>maintain</w:t>
      </w:r>
      <w:r w:rsidR="00C70169" w:rsidRPr="005320BD">
        <w:t xml:space="preserve"> a</w:t>
      </w:r>
      <w:r w:rsidR="00C70169">
        <w:t xml:space="preserve"> safe,</w:t>
      </w:r>
      <w:r w:rsidR="00C70169" w:rsidRPr="005320BD">
        <w:t xml:space="preserve"> reliable</w:t>
      </w:r>
      <w:r w:rsidR="00C70169">
        <w:t xml:space="preserve"> and</w:t>
      </w:r>
      <w:r w:rsidR="00C70169" w:rsidRPr="005320BD">
        <w:t xml:space="preserve"> resilient </w:t>
      </w:r>
      <w:r w:rsidR="00C70169">
        <w:t xml:space="preserve">electrical </w:t>
      </w:r>
      <w:r w:rsidR="00C70169" w:rsidRPr="005320BD">
        <w:t>system</w:t>
      </w:r>
      <w:r w:rsidR="00465515">
        <w:t xml:space="preserve"> for </w:t>
      </w:r>
      <w:r w:rsidR="00831AC1">
        <w:t xml:space="preserve">our </w:t>
      </w:r>
      <w:r w:rsidR="00465515">
        <w:t>customers</w:t>
      </w:r>
      <w:r w:rsidR="00C70169">
        <w:t>.  As a result of several major storms</w:t>
      </w:r>
      <w:r w:rsidR="00542780">
        <w:t>,</w:t>
      </w:r>
      <w:r w:rsidR="00C70169">
        <w:t xml:space="preserve"> </w:t>
      </w:r>
      <w:r w:rsidR="00465515">
        <w:t>the Compan</w:t>
      </w:r>
      <w:r w:rsidR="0019012A">
        <w:t xml:space="preserve">y’s </w:t>
      </w:r>
      <w:r w:rsidR="009141B3">
        <w:t xml:space="preserve">storm damage </w:t>
      </w:r>
      <w:r w:rsidR="009141B3" w:rsidRPr="001C7AD4">
        <w:t>account is under</w:t>
      </w:r>
      <w:r w:rsidR="00B66E86">
        <w:t>-</w:t>
      </w:r>
      <w:r w:rsidR="009141B3" w:rsidRPr="001C7AD4">
        <w:t xml:space="preserve">recovered (not </w:t>
      </w:r>
      <w:r w:rsidR="002D61C0">
        <w:t xml:space="preserve">yet </w:t>
      </w:r>
      <w:r w:rsidR="009141B3" w:rsidRPr="001C7AD4">
        <w:t xml:space="preserve">collected </w:t>
      </w:r>
      <w:r w:rsidR="0019012A">
        <w:t>through</w:t>
      </w:r>
      <w:r w:rsidR="009141B3" w:rsidRPr="001C7AD4">
        <w:t xml:space="preserve"> rates) by</w:t>
      </w:r>
      <w:r w:rsidR="00DB55DC" w:rsidRPr="001C7AD4">
        <w:t xml:space="preserve"> </w:t>
      </w:r>
      <w:r w:rsidR="0019012A">
        <w:t xml:space="preserve">approximately </w:t>
      </w:r>
      <w:r w:rsidR="00DB55DC" w:rsidRPr="000D6ADB">
        <w:t>$</w:t>
      </w:r>
      <w:r w:rsidR="009141B3" w:rsidRPr="000D6ADB">
        <w:t>450</w:t>
      </w:r>
      <w:r w:rsidR="00DB55DC" w:rsidRPr="000D6ADB">
        <w:t xml:space="preserve"> million.</w:t>
      </w:r>
      <w:r w:rsidR="00DB55DC">
        <w:t xml:space="preserve">  </w:t>
      </w:r>
      <w:r w:rsidR="0019012A">
        <w:t>At the same time, the</w:t>
      </w:r>
      <w:r w:rsidR="00465515">
        <w:t xml:space="preserve"> Company </w:t>
      </w:r>
      <w:r w:rsidR="0019012A">
        <w:t xml:space="preserve">has and </w:t>
      </w:r>
      <w:r w:rsidR="00465515">
        <w:t xml:space="preserve">must </w:t>
      </w:r>
      <w:r w:rsidR="0019012A">
        <w:t xml:space="preserve">continue to </w:t>
      </w:r>
      <w:r w:rsidR="00465515">
        <w:t>make</w:t>
      </w:r>
      <w:r w:rsidR="00DB55DC">
        <w:t xml:space="preserve"> substantial investments to comply with ongoing </w:t>
      </w:r>
      <w:r w:rsidR="00465515">
        <w:t xml:space="preserve">state and federal </w:t>
      </w:r>
      <w:r w:rsidR="00DB55DC">
        <w:t>environmental regulations.</w:t>
      </w:r>
      <w:r w:rsidR="00750492">
        <w:t xml:space="preserve"> These investments and new costs are not yet </w:t>
      </w:r>
      <w:r w:rsidR="009D656C">
        <w:t xml:space="preserve">fully </w:t>
      </w:r>
      <w:r w:rsidR="00750492">
        <w:t>reflected in our rates and are not completely offset by the substantial savings we have achieved since 2013.</w:t>
      </w:r>
    </w:p>
    <w:p w14:paraId="1F655D5B" w14:textId="77777777" w:rsidR="00F9120D" w:rsidRDefault="00DB55DC" w:rsidP="00AF61FE">
      <w:pPr>
        <w:spacing w:line="360" w:lineRule="auto"/>
        <w:jc w:val="both"/>
      </w:pPr>
      <w:r>
        <w:tab/>
      </w:r>
    </w:p>
    <w:p w14:paraId="0EBB40A8" w14:textId="121204C0" w:rsidR="002C258C" w:rsidRDefault="00465515" w:rsidP="00AF61FE">
      <w:pPr>
        <w:spacing w:line="360" w:lineRule="auto"/>
        <w:ind w:left="720"/>
        <w:jc w:val="both"/>
      </w:pPr>
      <w:r>
        <w:t xml:space="preserve">Georgia Power’s </w:t>
      </w:r>
      <w:r w:rsidR="00DB55DC">
        <w:t xml:space="preserve">request seeks to </w:t>
      </w:r>
      <w:r w:rsidR="00750492">
        <w:t xml:space="preserve">reset our rates to a level sufficient to allow us to provide our customers with clean, safe, reliable energy and the first-class customer service they </w:t>
      </w:r>
      <w:r w:rsidR="00134532">
        <w:t>expect, which we are committed to deliver</w:t>
      </w:r>
      <w:r w:rsidR="0014733A">
        <w:t>ing</w:t>
      </w:r>
      <w:r w:rsidR="00750492">
        <w:t>.</w:t>
      </w:r>
      <w:r w:rsidR="00DB55DC">
        <w:t xml:space="preserve"> </w:t>
      </w:r>
      <w:r>
        <w:t>The Company</w:t>
      </w:r>
      <w:r w:rsidR="00DB55DC">
        <w:t xml:space="preserve"> propose</w:t>
      </w:r>
      <w:r>
        <w:t>s</w:t>
      </w:r>
      <w:r w:rsidR="00DB55DC">
        <w:t xml:space="preserve"> to continue the three-year </w:t>
      </w:r>
      <w:r w:rsidR="006726C0">
        <w:t xml:space="preserve">alternate </w:t>
      </w:r>
      <w:r w:rsidR="00DB55DC">
        <w:t>rate plan</w:t>
      </w:r>
      <w:r w:rsidR="006726C0">
        <w:t xml:space="preserve"> (“ARP”)</w:t>
      </w:r>
      <w:r w:rsidR="00DB55DC">
        <w:t xml:space="preserve"> structure that has served Georgia and our customers well since 1995.  </w:t>
      </w:r>
      <w:r w:rsidR="008A2BC9">
        <w:t xml:space="preserve">Not only have the three-year rate plans helped to keep rates stable and predictable, but the sharing mechanism has also allowed the Company to provide approximately $160 million in benefits to customers since 2013. </w:t>
      </w:r>
      <w:r w:rsidR="00134532">
        <w:t>T</w:t>
      </w:r>
      <w:r w:rsidR="00DB55DC">
        <w:t xml:space="preserve">he embedded </w:t>
      </w:r>
      <w:r w:rsidR="00B66E86">
        <w:t xml:space="preserve">performance </w:t>
      </w:r>
      <w:r w:rsidR="00DB55DC">
        <w:t>sharing mechanism</w:t>
      </w:r>
      <w:r w:rsidR="00B66E86">
        <w:t xml:space="preserve"> set in our rate plans for decades</w:t>
      </w:r>
      <w:r w:rsidR="00134532">
        <w:t xml:space="preserve"> allows for customer</w:t>
      </w:r>
      <w:r w:rsidR="00613CD7">
        <w:t xml:space="preserve">s to </w:t>
      </w:r>
      <w:r w:rsidR="00134532">
        <w:t>benefit</w:t>
      </w:r>
      <w:r w:rsidR="00DB55DC">
        <w:t xml:space="preserve">.  </w:t>
      </w:r>
      <w:r w:rsidR="002C258C">
        <w:t xml:space="preserve">This structure </w:t>
      </w:r>
      <w:r w:rsidR="00B27F88">
        <w:t xml:space="preserve">also </w:t>
      </w:r>
      <w:r w:rsidR="002C258C">
        <w:t>has led to stability in</w:t>
      </w:r>
      <w:r>
        <w:t xml:space="preserve"> Georgia Power’s</w:t>
      </w:r>
      <w:r w:rsidR="002C258C">
        <w:t xml:space="preserve"> ability to attract the substantial capital investment need</w:t>
      </w:r>
      <w:r>
        <w:t>ed</w:t>
      </w:r>
      <w:r w:rsidR="002C258C">
        <w:t xml:space="preserve"> from the financial markets</w:t>
      </w:r>
      <w:r w:rsidR="009664DC">
        <w:t xml:space="preserve"> at competitive rates</w:t>
      </w:r>
      <w:r w:rsidR="002C258C">
        <w:t xml:space="preserve">.  The </w:t>
      </w:r>
      <w:r w:rsidR="009238DD">
        <w:t>stability</w:t>
      </w:r>
      <w:r w:rsidR="002C258C">
        <w:t xml:space="preserve"> and predictability for customers and investors created by </w:t>
      </w:r>
      <w:r w:rsidR="00610C41">
        <w:t>a</w:t>
      </w:r>
      <w:r w:rsidR="002C258C">
        <w:t xml:space="preserve"> </w:t>
      </w:r>
      <w:r w:rsidR="00262581">
        <w:t>three</w:t>
      </w:r>
      <w:r w:rsidR="00394B8B">
        <w:t>-</w:t>
      </w:r>
      <w:r w:rsidR="00262581">
        <w:t xml:space="preserve">year </w:t>
      </w:r>
      <w:r w:rsidR="006726C0">
        <w:t xml:space="preserve">ARP </w:t>
      </w:r>
      <w:r w:rsidR="002C258C">
        <w:t xml:space="preserve">structure is a critical part of the constructive regulatory framework </w:t>
      </w:r>
      <w:r>
        <w:t>that</w:t>
      </w:r>
      <w:r w:rsidR="002C258C">
        <w:t xml:space="preserve"> </w:t>
      </w:r>
      <w:r>
        <w:t>has enabled Georgia Power to</w:t>
      </w:r>
      <w:r w:rsidR="002C258C">
        <w:t xml:space="preserve"> deliver safe, clean</w:t>
      </w:r>
      <w:r w:rsidR="003C1275">
        <w:t xml:space="preserve"> </w:t>
      </w:r>
      <w:r w:rsidR="002C258C">
        <w:t xml:space="preserve">and reliable energy to our customers at </w:t>
      </w:r>
      <w:r w:rsidR="009664DC">
        <w:t xml:space="preserve">rates </w:t>
      </w:r>
      <w:r w:rsidR="002C258C">
        <w:t>16% below the national average.</w:t>
      </w:r>
    </w:p>
    <w:p w14:paraId="40AC2348" w14:textId="77777777" w:rsidR="00F9120D" w:rsidRDefault="00F9120D" w:rsidP="00AF61FE">
      <w:pPr>
        <w:spacing w:line="360" w:lineRule="auto"/>
        <w:ind w:firstLine="720"/>
        <w:jc w:val="both"/>
      </w:pPr>
    </w:p>
    <w:p w14:paraId="26D2481D" w14:textId="67D68686" w:rsidR="00DB55DC" w:rsidRDefault="00465515" w:rsidP="00AF61FE">
      <w:pPr>
        <w:spacing w:line="360" w:lineRule="auto"/>
        <w:ind w:left="720"/>
        <w:jc w:val="both"/>
      </w:pPr>
      <w:r>
        <w:lastRenderedPageBreak/>
        <w:t>The Company</w:t>
      </w:r>
      <w:r w:rsidR="00DB55DC">
        <w:t xml:space="preserve"> do</w:t>
      </w:r>
      <w:r w:rsidR="00262581">
        <w:t>es</w:t>
      </w:r>
      <w:r w:rsidR="00DB55DC">
        <w:t xml:space="preserve"> not propose any change in the </w:t>
      </w:r>
      <w:r w:rsidR="00B66E86">
        <w:t xml:space="preserve">allowed </w:t>
      </w:r>
      <w:r w:rsidR="00DB55DC">
        <w:t>earning</w:t>
      </w:r>
      <w:r>
        <w:t>s</w:t>
      </w:r>
      <w:r w:rsidR="00DB55DC">
        <w:t xml:space="preserve"> </w:t>
      </w:r>
      <w:r w:rsidR="00DB55DC" w:rsidRPr="00006936">
        <w:t xml:space="preserve">band of 10% to 12% or the sharing mechanism. </w:t>
      </w:r>
      <w:r w:rsidR="00262581" w:rsidRPr="00006936">
        <w:t>We</w:t>
      </w:r>
      <w:r w:rsidR="00DB55DC" w:rsidRPr="00006936">
        <w:t xml:space="preserve"> propose that rates be set </w:t>
      </w:r>
      <w:r w:rsidR="002667EF">
        <w:t>near</w:t>
      </w:r>
      <w:r w:rsidR="00DB55DC" w:rsidRPr="00006936">
        <w:t xml:space="preserve"> the mid-point of </w:t>
      </w:r>
      <w:r w:rsidRPr="00006936">
        <w:t xml:space="preserve">the </w:t>
      </w:r>
      <w:r w:rsidR="00DB55DC" w:rsidRPr="00006936">
        <w:t>band (1</w:t>
      </w:r>
      <w:r w:rsidR="0019012A">
        <w:t>0.9</w:t>
      </w:r>
      <w:r w:rsidR="00DB55DC" w:rsidRPr="00006936">
        <w:t>% ROE)</w:t>
      </w:r>
      <w:r w:rsidR="006C52CF">
        <w:t>,</w:t>
      </w:r>
      <w:r w:rsidR="00DB55DC" w:rsidRPr="00006936">
        <w:t xml:space="preserve"> using an assumed capital structure </w:t>
      </w:r>
      <w:r w:rsidR="002C258C" w:rsidRPr="00006936">
        <w:t>with 5</w:t>
      </w:r>
      <w:r w:rsidR="0019012A">
        <w:t>6</w:t>
      </w:r>
      <w:r w:rsidR="002C258C" w:rsidRPr="00006936">
        <w:t>% equity. Th</w:t>
      </w:r>
      <w:r w:rsidRPr="00006936">
        <w:t>e</w:t>
      </w:r>
      <w:r w:rsidR="002C258C" w:rsidRPr="00006936">
        <w:t>se slight modifications reflect</w:t>
      </w:r>
      <w:r w:rsidR="002C258C">
        <w:t xml:space="preserve"> current market conditions and the need to maintain current credit ratings</w:t>
      </w:r>
      <w:r>
        <w:t>,</w:t>
      </w:r>
      <w:r w:rsidR="002C258C">
        <w:t xml:space="preserve"> which allow </w:t>
      </w:r>
      <w:r>
        <w:t>the Company</w:t>
      </w:r>
      <w:r w:rsidR="002C258C">
        <w:t xml:space="preserve"> to achieve one of the lowest overall cost</w:t>
      </w:r>
      <w:r w:rsidR="00911E6E">
        <w:t>s</w:t>
      </w:r>
      <w:r w:rsidR="002C258C">
        <w:t xml:space="preserve"> of investment </w:t>
      </w:r>
      <w:r>
        <w:t>compared to</w:t>
      </w:r>
      <w:r w:rsidR="002C258C">
        <w:t xml:space="preserve"> </w:t>
      </w:r>
      <w:r w:rsidR="00262581">
        <w:t xml:space="preserve">our </w:t>
      </w:r>
      <w:r w:rsidR="002C258C">
        <w:t xml:space="preserve">peer companies. </w:t>
      </w:r>
      <w:r>
        <w:t>This</w:t>
      </w:r>
      <w:r w:rsidR="002C258C">
        <w:t>, in turn, results in lower costs for customers</w:t>
      </w:r>
      <w:r w:rsidR="00750492">
        <w:t xml:space="preserve"> than they otherwise would be.</w:t>
      </w:r>
    </w:p>
    <w:p w14:paraId="6C255AE5" w14:textId="77777777" w:rsidR="00F9120D" w:rsidRDefault="00F9120D" w:rsidP="00AF61FE">
      <w:pPr>
        <w:spacing w:line="360" w:lineRule="auto"/>
        <w:ind w:firstLine="720"/>
        <w:jc w:val="both"/>
      </w:pPr>
    </w:p>
    <w:p w14:paraId="701D05A4" w14:textId="47A0095B" w:rsidR="002C258C" w:rsidRDefault="002C258C" w:rsidP="004A2D5D">
      <w:pPr>
        <w:spacing w:line="360" w:lineRule="auto"/>
        <w:ind w:left="720"/>
        <w:jc w:val="both"/>
      </w:pPr>
      <w:bookmarkStart w:id="3" w:name="_Hlk11140117"/>
      <w:r>
        <w:t>W</w:t>
      </w:r>
      <w:r w:rsidR="00262581">
        <w:t>e</w:t>
      </w:r>
      <w:r w:rsidR="00465515">
        <w:t xml:space="preserve"> </w:t>
      </w:r>
      <w:r>
        <w:t xml:space="preserve">recognize that customers desire rate </w:t>
      </w:r>
      <w:r w:rsidR="00542780">
        <w:t>stability</w:t>
      </w:r>
      <w:r w:rsidR="00736F89">
        <w:t xml:space="preserve">, therefore, we </w:t>
      </w:r>
      <w:r w:rsidR="00913F90">
        <w:t xml:space="preserve">are </w:t>
      </w:r>
      <w:r w:rsidR="002B2ECD" w:rsidRPr="00534F06">
        <w:t>propos</w:t>
      </w:r>
      <w:r w:rsidR="00913F90" w:rsidRPr="00534F06">
        <w:t xml:space="preserve">ing </w:t>
      </w:r>
      <w:r w:rsidR="002B2ECD" w:rsidRPr="00534F06">
        <w:t xml:space="preserve">to levelize most of </w:t>
      </w:r>
      <w:r w:rsidR="002C0C2F" w:rsidRPr="00534F06">
        <w:t>the</w:t>
      </w:r>
      <w:r w:rsidR="00772913">
        <w:t xml:space="preserve"> requested</w:t>
      </w:r>
      <w:r w:rsidR="002B2ECD" w:rsidRPr="00534F06">
        <w:t xml:space="preserve"> </w:t>
      </w:r>
      <w:r w:rsidR="00B138C1">
        <w:t xml:space="preserve">rate </w:t>
      </w:r>
      <w:r w:rsidR="002B2ECD" w:rsidRPr="00534F06">
        <w:t>incr</w:t>
      </w:r>
      <w:r w:rsidR="000C3A39">
        <w:t xml:space="preserve">ease over a three-year </w:t>
      </w:r>
      <w:r w:rsidR="006726C0">
        <w:t>ARP</w:t>
      </w:r>
      <w:r w:rsidR="00B66E86">
        <w:t xml:space="preserve">. </w:t>
      </w:r>
      <w:r w:rsidR="00772913">
        <w:t xml:space="preserve"> </w:t>
      </w:r>
      <w:r w:rsidR="00B66E86">
        <w:t>A</w:t>
      </w:r>
      <w:r w:rsidR="004A2D5D">
        <w:t xml:space="preserve">fter </w:t>
      </w:r>
      <w:r w:rsidR="003C1275">
        <w:t xml:space="preserve">the </w:t>
      </w:r>
      <w:r w:rsidR="00542780">
        <w:t>new rates</w:t>
      </w:r>
      <w:r w:rsidR="004A2D5D">
        <w:t xml:space="preserve"> go into effect </w:t>
      </w:r>
      <w:r w:rsidR="002B2ECD" w:rsidRPr="00534F06">
        <w:t>on January 1, 2020</w:t>
      </w:r>
      <w:r w:rsidR="00772913">
        <w:t xml:space="preserve">, </w:t>
      </w:r>
      <w:r w:rsidR="00B66E86">
        <w:t xml:space="preserve">rates are only adjusted for the increasing cost of </w:t>
      </w:r>
      <w:r w:rsidR="000C3A39">
        <w:t>the Coal Combustion Residual</w:t>
      </w:r>
      <w:r w:rsidR="006726C0">
        <w:t>s</w:t>
      </w:r>
      <w:r w:rsidR="000C3A39">
        <w:t xml:space="preserve"> (</w:t>
      </w:r>
      <w:r w:rsidR="00395543">
        <w:t>“</w:t>
      </w:r>
      <w:r w:rsidR="000C3A39">
        <w:t>CCR</w:t>
      </w:r>
      <w:r w:rsidR="00395543">
        <w:t>”</w:t>
      </w:r>
      <w:r w:rsidR="000C3A39">
        <w:t xml:space="preserve">) </w:t>
      </w:r>
      <w:r w:rsidR="00B66E86">
        <w:t>compliance</w:t>
      </w:r>
      <w:r w:rsidR="000C3A39">
        <w:t xml:space="preserve"> program</w:t>
      </w:r>
      <w:r w:rsidR="00B66E86">
        <w:t>, D</w:t>
      </w:r>
      <w:r w:rsidR="00831AC1">
        <w:t>emand Side Management (DSM) programs</w:t>
      </w:r>
      <w:r w:rsidR="00B66E86">
        <w:t xml:space="preserve"> and Municipal Franchise Fees annually.  </w:t>
      </w:r>
    </w:p>
    <w:p w14:paraId="6B6D6296" w14:textId="5AD159AA" w:rsidR="00C2501F" w:rsidRDefault="00C2501F" w:rsidP="0070028F">
      <w:pPr>
        <w:spacing w:line="360" w:lineRule="auto"/>
      </w:pPr>
      <w:r>
        <w:t xml:space="preserve"> </w:t>
      </w:r>
    </w:p>
    <w:bookmarkEnd w:id="3"/>
    <w:p w14:paraId="23EDAE52" w14:textId="77777777" w:rsidR="0060577C" w:rsidRDefault="0060577C" w:rsidP="0060577C">
      <w:pPr>
        <w:spacing w:line="360" w:lineRule="auto"/>
        <w:ind w:left="720" w:hanging="720"/>
        <w:jc w:val="both"/>
        <w:rPr>
          <w:b/>
        </w:rPr>
      </w:pPr>
      <w:r w:rsidRPr="0060577C">
        <w:rPr>
          <w:b/>
        </w:rPr>
        <w:t>Q.</w:t>
      </w:r>
      <w:r>
        <w:tab/>
      </w:r>
      <w:r w:rsidRPr="00D265D6">
        <w:rPr>
          <w:b/>
        </w:rPr>
        <w:t xml:space="preserve">PLEASE SUMMARIZE THE COMPANY’S </w:t>
      </w:r>
      <w:r>
        <w:rPr>
          <w:b/>
        </w:rPr>
        <w:t xml:space="preserve">CAPITAL INVESTMENTS SINCE YOUR LAST BASE RATE INCREASE IN 2013. </w:t>
      </w:r>
    </w:p>
    <w:p w14:paraId="70454445" w14:textId="27127423" w:rsidR="0060577C" w:rsidRDefault="0060577C" w:rsidP="0060577C">
      <w:pPr>
        <w:spacing w:line="360" w:lineRule="auto"/>
        <w:ind w:left="720" w:hanging="720"/>
        <w:jc w:val="both"/>
      </w:pPr>
      <w:r>
        <w:t>A.</w:t>
      </w:r>
      <w:r>
        <w:tab/>
      </w:r>
      <w:r w:rsidR="009D656C">
        <w:t>From 2014 through 2018</w:t>
      </w:r>
      <w:r>
        <w:t xml:space="preserve">, Georgia Power has invested more </w:t>
      </w:r>
      <w:r w:rsidRPr="000D6ADB">
        <w:t xml:space="preserve">than </w:t>
      </w:r>
      <w:r w:rsidRPr="00AE0BF3">
        <w:t>$</w:t>
      </w:r>
      <w:r w:rsidR="000D6ADB" w:rsidRPr="00AE0BF3">
        <w:t>8</w:t>
      </w:r>
      <w:r w:rsidRPr="00AE0BF3">
        <w:t>.7 billion</w:t>
      </w:r>
      <w:r w:rsidRPr="005320BD">
        <w:t xml:space="preserve"> in assets and infrastructure </w:t>
      </w:r>
      <w:bookmarkStart w:id="4" w:name="_Hlk8303650"/>
      <w:r w:rsidRPr="005320BD">
        <w:t xml:space="preserve">to ensure that </w:t>
      </w:r>
      <w:r w:rsidR="00365A70">
        <w:t>it</w:t>
      </w:r>
      <w:r w:rsidR="00365A70" w:rsidRPr="005320BD">
        <w:t xml:space="preserve"> </w:t>
      </w:r>
      <w:r>
        <w:t>maintain</w:t>
      </w:r>
      <w:r w:rsidR="00365A70">
        <w:t>s</w:t>
      </w:r>
      <w:r w:rsidRPr="005320BD">
        <w:t xml:space="preserve"> a</w:t>
      </w:r>
      <w:r>
        <w:t xml:space="preserve"> safe,</w:t>
      </w:r>
      <w:r w:rsidRPr="005320BD">
        <w:t xml:space="preserve"> reliable</w:t>
      </w:r>
      <w:r>
        <w:t xml:space="preserve"> and</w:t>
      </w:r>
      <w:r w:rsidRPr="005320BD">
        <w:t xml:space="preserve"> resilient </w:t>
      </w:r>
      <w:r>
        <w:t xml:space="preserve">electrical </w:t>
      </w:r>
      <w:r w:rsidRPr="005320BD">
        <w:t xml:space="preserve">system to support the growing and changing energy needs of </w:t>
      </w:r>
      <w:bookmarkEnd w:id="4"/>
      <w:r w:rsidR="00365A70">
        <w:t>its customers</w:t>
      </w:r>
      <w:r w:rsidRPr="005320BD">
        <w:t xml:space="preserve">. </w:t>
      </w:r>
      <w:r w:rsidR="009D656C">
        <w:t>T</w:t>
      </w:r>
      <w:r w:rsidR="00887546">
        <w:t>his</w:t>
      </w:r>
      <w:r w:rsidR="0039007E">
        <w:t xml:space="preserve"> investment is not yet </w:t>
      </w:r>
      <w:r w:rsidR="009D656C">
        <w:t xml:space="preserve">fully </w:t>
      </w:r>
      <w:r w:rsidR="003C1275" w:rsidRPr="000D6ADB">
        <w:t>reflected</w:t>
      </w:r>
      <w:r w:rsidR="0039007E">
        <w:t xml:space="preserve"> in our current rates. </w:t>
      </w:r>
      <w:r w:rsidRPr="005320BD">
        <w:t xml:space="preserve">Working with the Commission, </w:t>
      </w:r>
      <w:r w:rsidR="00365A70">
        <w:t>the Company has</w:t>
      </w:r>
      <w:r>
        <w:t xml:space="preserve"> continued to</w:t>
      </w:r>
      <w:r w:rsidRPr="005320BD">
        <w:t xml:space="preserve"> invest in a diverse energy </w:t>
      </w:r>
      <w:r w:rsidRPr="001E652B">
        <w:t>mix of nuclear, natural gas, hydro, renewables, coal and energy efficiency</w:t>
      </w:r>
      <w:r w:rsidRPr="005320BD">
        <w:t xml:space="preserve"> resources to maintain high levels of reliability for customers </w:t>
      </w:r>
      <w:r>
        <w:t xml:space="preserve">at </w:t>
      </w:r>
      <w:r w:rsidRPr="005320BD">
        <w:t xml:space="preserve">rates </w:t>
      </w:r>
      <w:r>
        <w:t>16</w:t>
      </w:r>
      <w:r w:rsidR="00365A70">
        <w:t xml:space="preserve">% </w:t>
      </w:r>
      <w:r>
        <w:t>below the national average</w:t>
      </w:r>
      <w:r w:rsidR="00911E6E">
        <w:t xml:space="preserve"> and increases well below the rate of inflation</w:t>
      </w:r>
      <w:r w:rsidRPr="005320BD">
        <w:t>.</w:t>
      </w:r>
      <w:r>
        <w:t xml:space="preserve"> In addition to new generation </w:t>
      </w:r>
      <w:r w:rsidR="00365A70">
        <w:t>re</w:t>
      </w:r>
      <w:r>
        <w:t xml:space="preserve">sources, </w:t>
      </w:r>
      <w:r w:rsidR="00365A70">
        <w:t>Georgia Power has</w:t>
      </w:r>
      <w:r>
        <w:t xml:space="preserve"> also invested in</w:t>
      </w:r>
      <w:r w:rsidR="00365A70">
        <w:t xml:space="preserve"> </w:t>
      </w:r>
      <w:r>
        <w:t xml:space="preserve">transmission </w:t>
      </w:r>
      <w:r>
        <w:lastRenderedPageBreak/>
        <w:t xml:space="preserve">and distribution systems and integrated enhanced environmental </w:t>
      </w:r>
      <w:r w:rsidRPr="00760EB8">
        <w:t xml:space="preserve">controls across </w:t>
      </w:r>
      <w:r w:rsidR="00365A70">
        <w:t>the</w:t>
      </w:r>
      <w:r w:rsidR="00365A70" w:rsidRPr="00760EB8">
        <w:t xml:space="preserve"> </w:t>
      </w:r>
      <w:r w:rsidRPr="00760EB8">
        <w:t>generation fleet.</w:t>
      </w:r>
      <w:r>
        <w:t xml:space="preserve"> </w:t>
      </w:r>
    </w:p>
    <w:p w14:paraId="2C590C05" w14:textId="77777777" w:rsidR="0060577C" w:rsidRDefault="0060577C" w:rsidP="0060577C">
      <w:pPr>
        <w:spacing w:line="360" w:lineRule="auto"/>
        <w:jc w:val="both"/>
      </w:pPr>
    </w:p>
    <w:p w14:paraId="6F2EE684" w14:textId="5D066E56" w:rsidR="0060577C" w:rsidRDefault="00365A70" w:rsidP="0060577C">
      <w:pPr>
        <w:spacing w:line="360" w:lineRule="auto"/>
        <w:ind w:left="720"/>
        <w:jc w:val="both"/>
      </w:pPr>
      <w:r>
        <w:t xml:space="preserve">The Company has </w:t>
      </w:r>
      <w:r w:rsidR="0060577C">
        <w:t xml:space="preserve">continued to evolve </w:t>
      </w:r>
      <w:r>
        <w:t xml:space="preserve">the </w:t>
      </w:r>
      <w:r w:rsidR="0060577C">
        <w:t xml:space="preserve">generation fleet while focusing on value for customers </w:t>
      </w:r>
      <w:r w:rsidR="00610C41">
        <w:t xml:space="preserve">and maintaining </w:t>
      </w:r>
      <w:r w:rsidR="00041112">
        <w:t>diverse</w:t>
      </w:r>
      <w:r w:rsidR="00610C41">
        <w:t xml:space="preserve"> source</w:t>
      </w:r>
      <w:r w:rsidR="00041112">
        <w:t>s</w:t>
      </w:r>
      <w:r w:rsidR="00610C41">
        <w:t xml:space="preserve"> of energy</w:t>
      </w:r>
      <w:r w:rsidR="00041112">
        <w:t xml:space="preserve"> for our state</w:t>
      </w:r>
      <w:r w:rsidR="00610C41">
        <w:t xml:space="preserve">. </w:t>
      </w:r>
      <w:r w:rsidR="0039007E">
        <w:t xml:space="preserve">Working within a constructive regulatory framework, and with the support and encouragement of this Commission, </w:t>
      </w:r>
      <w:r>
        <w:t xml:space="preserve">Georgia Power </w:t>
      </w:r>
      <w:r w:rsidR="00041112">
        <w:t>h</w:t>
      </w:r>
      <w:r w:rsidR="0060577C">
        <w:t>as</w:t>
      </w:r>
      <w:r w:rsidR="0039007E">
        <w:t xml:space="preserve"> continued to develop renewable resources in a way that allowed the Company to</w:t>
      </w:r>
      <w:r w:rsidR="0060577C">
        <w:t xml:space="preserve"> </w:t>
      </w:r>
      <w:r w:rsidR="00041112">
        <w:t xml:space="preserve">become </w:t>
      </w:r>
      <w:r w:rsidR="0060577C">
        <w:t>a leader in solar and renewable energy growt</w:t>
      </w:r>
      <w:r w:rsidR="00041112">
        <w:t xml:space="preserve">h. </w:t>
      </w:r>
      <w:r w:rsidR="0039007E">
        <w:t xml:space="preserve">As a result, </w:t>
      </w:r>
      <w:r w:rsidR="0060577C">
        <w:t xml:space="preserve">Georgia Power currently has one of the largest voluntary renewable portfolios in the country with more than 1,500 MW of renewable resources online </w:t>
      </w:r>
      <w:r w:rsidR="0060577C" w:rsidRPr="002B3CDB">
        <w:t xml:space="preserve">and an additional 1,600 MW of renewable resources under development. Combined with the renewable programs requested through the 2019 </w:t>
      </w:r>
      <w:r w:rsidR="0060577C">
        <w:t>IRP</w:t>
      </w:r>
      <w:r w:rsidR="00AE0BF3">
        <w:t xml:space="preserve"> </w:t>
      </w:r>
      <w:r w:rsidR="00005361">
        <w:t>and subject to Commission approval</w:t>
      </w:r>
      <w:r w:rsidR="0060577C" w:rsidRPr="002B3CDB">
        <w:t xml:space="preserve">, Georgia Power </w:t>
      </w:r>
      <w:r w:rsidR="00B57C14">
        <w:t>plans to</w:t>
      </w:r>
      <w:r w:rsidR="0060577C" w:rsidRPr="002B3CDB">
        <w:t xml:space="preserve"> have more </w:t>
      </w:r>
      <w:r w:rsidR="0060577C" w:rsidRPr="003A27FB">
        <w:t>than 4,</w:t>
      </w:r>
      <w:r w:rsidR="00041112" w:rsidRPr="003A27FB">
        <w:t xml:space="preserve">750 </w:t>
      </w:r>
      <w:r w:rsidR="0060577C" w:rsidRPr="003A27FB">
        <w:t>MW</w:t>
      </w:r>
      <w:r w:rsidR="0060577C" w:rsidRPr="002B3CDB">
        <w:t xml:space="preserve"> of renewable resources online by the end of 2024.</w:t>
      </w:r>
      <w:r w:rsidR="0060577C">
        <w:t xml:space="preserve"> </w:t>
      </w:r>
      <w:r>
        <w:t>The Company has</w:t>
      </w:r>
      <w:r w:rsidR="0060577C">
        <w:t xml:space="preserve"> been recognized multiple times by the Smart Electric Power Alliance as a top 10 utility for </w:t>
      </w:r>
      <w:r w:rsidR="003C1275">
        <w:t xml:space="preserve">the </w:t>
      </w:r>
      <w:r w:rsidR="0060577C">
        <w:t>addition of solar megawatts, or watts per customer</w:t>
      </w:r>
      <w:r w:rsidR="00041112">
        <w:t xml:space="preserve">. All of this, in collaboration </w:t>
      </w:r>
      <w:r w:rsidR="0062740A">
        <w:t>with the Commission,</w:t>
      </w:r>
      <w:r w:rsidR="0060577C">
        <w:t xml:space="preserve"> </w:t>
      </w:r>
      <w:r w:rsidR="00041112">
        <w:t>has positioned our fleet for the future</w:t>
      </w:r>
      <w:r w:rsidR="0060577C">
        <w:t xml:space="preserve">. </w:t>
      </w:r>
    </w:p>
    <w:p w14:paraId="754E59D3" w14:textId="77777777" w:rsidR="0060577C" w:rsidRDefault="0060577C" w:rsidP="0060577C">
      <w:pPr>
        <w:spacing w:line="360" w:lineRule="auto"/>
        <w:jc w:val="both"/>
      </w:pPr>
    </w:p>
    <w:p w14:paraId="59D8E7DD" w14:textId="32F8730B" w:rsidR="0060577C" w:rsidRDefault="0039007E" w:rsidP="0060577C">
      <w:pPr>
        <w:spacing w:line="360" w:lineRule="auto"/>
        <w:ind w:left="720"/>
        <w:jc w:val="both"/>
      </w:pPr>
      <w:r w:rsidRPr="0039007E">
        <w:t xml:space="preserve">We are also retiring coal-fired units based on </w:t>
      </w:r>
      <w:r w:rsidR="008A2BC9">
        <w:t xml:space="preserve">their </w:t>
      </w:r>
      <w:r w:rsidRPr="0039007E">
        <w:t xml:space="preserve">lower projected value for customers and increasing the performance of our nuclear units. </w:t>
      </w:r>
      <w:r w:rsidR="002D5762">
        <w:t>Georgia Power</w:t>
      </w:r>
      <w:r w:rsidR="0060577C">
        <w:t xml:space="preserve"> ha</w:t>
      </w:r>
      <w:r w:rsidR="002D5762">
        <w:t>s</w:t>
      </w:r>
      <w:r w:rsidR="0060577C">
        <w:t xml:space="preserve"> </w:t>
      </w:r>
      <w:r w:rsidR="0060577C" w:rsidRPr="0066366D">
        <w:t>decertified 1</w:t>
      </w:r>
      <w:r w:rsidR="0060577C">
        <w:t>3</w:t>
      </w:r>
      <w:r w:rsidR="0060577C" w:rsidRPr="0066366D">
        <w:t xml:space="preserve"> coal</w:t>
      </w:r>
      <w:r w:rsidR="0060577C">
        <w:t xml:space="preserve">-fired units since 2013. </w:t>
      </w:r>
      <w:r w:rsidR="0060577C" w:rsidRPr="00957653">
        <w:t xml:space="preserve">The </w:t>
      </w:r>
      <w:r w:rsidR="00564E55">
        <w:t>C</w:t>
      </w:r>
      <w:r w:rsidR="00564E55" w:rsidRPr="00957653">
        <w:t xml:space="preserve">ompany </w:t>
      </w:r>
      <w:r w:rsidR="0060577C" w:rsidRPr="00957653">
        <w:t>has</w:t>
      </w:r>
      <w:r w:rsidR="00041112">
        <w:t xml:space="preserve"> </w:t>
      </w:r>
      <w:r w:rsidR="0060577C" w:rsidRPr="00957653">
        <w:t>safely retire</w:t>
      </w:r>
      <w:r w:rsidR="00041112">
        <w:t>d</w:t>
      </w:r>
      <w:r w:rsidR="0060577C" w:rsidRPr="00957653">
        <w:t xml:space="preserve"> or fuel-switched approximately 4,000 MW of coal and oil-fired generation </w:t>
      </w:r>
      <w:r w:rsidR="0060577C">
        <w:t>since 2013</w:t>
      </w:r>
      <w:r w:rsidR="00041112">
        <w:t xml:space="preserve"> and has</w:t>
      </w:r>
      <w:r w:rsidR="00037F8B">
        <w:t xml:space="preserve"> requested</w:t>
      </w:r>
      <w:r w:rsidR="00041112">
        <w:t xml:space="preserve"> to retire </w:t>
      </w:r>
      <w:r w:rsidR="00037F8B">
        <w:t xml:space="preserve">another </w:t>
      </w:r>
      <w:r w:rsidR="002E2913">
        <w:t xml:space="preserve">approximately </w:t>
      </w:r>
      <w:r w:rsidR="00037F8B">
        <w:t>1,000 MW of coal-fired generation as part of the 2019 IRP</w:t>
      </w:r>
      <w:r w:rsidR="00005361">
        <w:t>, which is subject to approval by the Commission</w:t>
      </w:r>
      <w:r w:rsidR="00037F8B">
        <w:t>.  Once these retirements are complete,</w:t>
      </w:r>
      <w:r w:rsidR="0060577C" w:rsidRPr="00957653">
        <w:t xml:space="preserve"> the </w:t>
      </w:r>
      <w:r w:rsidR="006726C0">
        <w:t>C</w:t>
      </w:r>
      <w:r w:rsidR="00037F8B">
        <w:t xml:space="preserve">ompany will have reduced its coal and oil-fired generation capacity to approximately half of </w:t>
      </w:r>
      <w:r w:rsidR="00037F8B">
        <w:lastRenderedPageBreak/>
        <w:t>what it was in 2005.</w:t>
      </w:r>
      <w:r w:rsidR="004E3E14">
        <w:t xml:space="preserve"> With the additional renewables added to the system and the retirement of uneconomic thermal units, the Company’s fuel diversity continues to enable us to dispatch the generation fleet as effectively as possible while also optimizing operations to ensure reliable and affordable energy for customers every day. </w:t>
      </w:r>
    </w:p>
    <w:p w14:paraId="7677B121" w14:textId="77777777" w:rsidR="00005361" w:rsidRDefault="00005361" w:rsidP="00B94D7C">
      <w:pPr>
        <w:spacing w:line="360" w:lineRule="auto"/>
        <w:ind w:left="720"/>
        <w:jc w:val="both"/>
      </w:pPr>
    </w:p>
    <w:p w14:paraId="589A6430" w14:textId="7EEC707A" w:rsidR="0060577C" w:rsidRDefault="009D656C" w:rsidP="00B94D7C">
      <w:pPr>
        <w:spacing w:line="360" w:lineRule="auto"/>
        <w:ind w:left="720"/>
        <w:jc w:val="both"/>
        <w:rPr>
          <w:highlight w:val="yellow"/>
        </w:rPr>
      </w:pPr>
      <w:r>
        <w:t>From 2014 through 2018</w:t>
      </w:r>
      <w:r w:rsidR="0060577C">
        <w:t xml:space="preserve">, </w:t>
      </w:r>
      <w:r w:rsidR="00564E55">
        <w:t xml:space="preserve">the </w:t>
      </w:r>
      <w:r w:rsidR="00564E55" w:rsidRPr="0023384F">
        <w:t>Company has</w:t>
      </w:r>
      <w:r w:rsidR="0060577C" w:rsidRPr="0023384F">
        <w:t xml:space="preserve"> also invested more than $</w:t>
      </w:r>
      <w:r w:rsidR="00410A67" w:rsidRPr="0023384F">
        <w:t>4.1</w:t>
      </w:r>
      <w:r w:rsidR="005718B3" w:rsidRPr="0023384F">
        <w:t xml:space="preserve"> billion</w:t>
      </w:r>
      <w:r w:rsidR="00410A67" w:rsidRPr="0023384F">
        <w:t xml:space="preserve"> </w:t>
      </w:r>
      <w:r w:rsidR="0060577C">
        <w:t xml:space="preserve">in </w:t>
      </w:r>
      <w:r w:rsidR="004E3E14">
        <w:t xml:space="preserve">expanding </w:t>
      </w:r>
      <w:r w:rsidR="00546504">
        <w:t>T</w:t>
      </w:r>
      <w:r w:rsidR="006A6897">
        <w:t xml:space="preserve">ransmission and </w:t>
      </w:r>
      <w:r w:rsidR="00546504">
        <w:t>D</w:t>
      </w:r>
      <w:r w:rsidR="006A6897">
        <w:t xml:space="preserve">istribution </w:t>
      </w:r>
      <w:r w:rsidR="00546504">
        <w:t xml:space="preserve">(“T&amp;D”) </w:t>
      </w:r>
      <w:r w:rsidR="00B87902">
        <w:t xml:space="preserve">infrastructure </w:t>
      </w:r>
      <w:r w:rsidR="006A6897">
        <w:t xml:space="preserve">as well as </w:t>
      </w:r>
      <w:r w:rsidR="0060577C">
        <w:t>strengthening the reliability and resiliency of our network</w:t>
      </w:r>
      <w:r w:rsidR="006A6897">
        <w:t xml:space="preserve">. The </w:t>
      </w:r>
      <w:r w:rsidR="00ED6E7D">
        <w:t>C</w:t>
      </w:r>
      <w:r w:rsidR="006A6897">
        <w:t>ompany has r</w:t>
      </w:r>
      <w:r w:rsidR="0060577C" w:rsidRPr="00760EB8">
        <w:t>eplac</w:t>
      </w:r>
      <w:r w:rsidR="006A6897">
        <w:t>ed</w:t>
      </w:r>
      <w:r w:rsidR="0060577C" w:rsidRPr="00760EB8">
        <w:t xml:space="preserve"> aging </w:t>
      </w:r>
      <w:r w:rsidR="00785C82">
        <w:t>transmission</w:t>
      </w:r>
      <w:r w:rsidR="0060577C" w:rsidRPr="00760EB8">
        <w:t xml:space="preserve"> assets and deploy</w:t>
      </w:r>
      <w:r w:rsidR="006A6897">
        <w:t>ed</w:t>
      </w:r>
      <w:r w:rsidR="0060577C" w:rsidRPr="00760EB8">
        <w:t xml:space="preserve"> automation technologies across </w:t>
      </w:r>
      <w:r w:rsidR="006A6897">
        <w:t>the</w:t>
      </w:r>
      <w:r w:rsidR="0060577C" w:rsidRPr="00760EB8">
        <w:t xml:space="preserve"> grid </w:t>
      </w:r>
      <w:r w:rsidR="0060577C" w:rsidRPr="0071768C">
        <w:t>to reduce outage and repair time</w:t>
      </w:r>
      <w:r w:rsidR="0060577C" w:rsidRPr="00760EB8">
        <w:t xml:space="preserve">. </w:t>
      </w:r>
      <w:r w:rsidR="0060577C">
        <w:t>A</w:t>
      </w:r>
      <w:r w:rsidR="00D33B11">
        <w:t xml:space="preserve"> few examples of this </w:t>
      </w:r>
      <w:r w:rsidR="0060577C">
        <w:t>investment</w:t>
      </w:r>
      <w:r w:rsidR="00D33B11">
        <w:t xml:space="preserve"> include:</w:t>
      </w:r>
    </w:p>
    <w:p w14:paraId="143BF666" w14:textId="7D0306EF" w:rsidR="0060577C" w:rsidRPr="005C4E75" w:rsidRDefault="0060577C" w:rsidP="00B31B75">
      <w:pPr>
        <w:pStyle w:val="ListParagraph"/>
        <w:numPr>
          <w:ilvl w:val="0"/>
          <w:numId w:val="6"/>
        </w:numPr>
        <w:spacing w:after="160" w:line="360" w:lineRule="auto"/>
        <w:ind w:left="1440"/>
        <w:jc w:val="both"/>
      </w:pPr>
      <w:r w:rsidRPr="005C4E75">
        <w:t xml:space="preserve">Rebuilt the eight-mile Jack McDonough to Peachtree </w:t>
      </w:r>
      <w:r w:rsidR="00785C82">
        <w:t xml:space="preserve">to </w:t>
      </w:r>
      <w:r w:rsidRPr="005C4E75">
        <w:t>Boulevard line that is critical to the electrical system in Atlanta and vital to the operations of customers</w:t>
      </w:r>
      <w:r w:rsidR="006C52CF">
        <w:t>,</w:t>
      </w:r>
      <w:r w:rsidRPr="005C4E75">
        <w:t xml:space="preserve"> such as the Centers for Disease Control and Prevention, Piedmont Hospital and the Atlanta Water Department. </w:t>
      </w:r>
    </w:p>
    <w:p w14:paraId="4B071E91" w14:textId="141ECB06" w:rsidR="0060577C" w:rsidRPr="005C4E75" w:rsidRDefault="0060577C" w:rsidP="00B31B75">
      <w:pPr>
        <w:pStyle w:val="ListParagraph"/>
        <w:numPr>
          <w:ilvl w:val="0"/>
          <w:numId w:val="7"/>
        </w:numPr>
        <w:spacing w:after="160" w:line="360" w:lineRule="auto"/>
        <w:ind w:left="1440"/>
        <w:jc w:val="both"/>
      </w:pPr>
      <w:r w:rsidRPr="005C4E75">
        <w:t xml:space="preserve">Invested </w:t>
      </w:r>
      <w:r w:rsidR="00D33B11" w:rsidRPr="005C4E75">
        <w:t>in</w:t>
      </w:r>
      <w:r w:rsidRPr="005C4E75">
        <w:t xml:space="preserve"> Self</w:t>
      </w:r>
      <w:r w:rsidR="00785C82">
        <w:t xml:space="preserve">-Healing Distribution </w:t>
      </w:r>
      <w:r w:rsidRPr="005C4E75">
        <w:t>Networks</w:t>
      </w:r>
      <w:r w:rsidR="00785C82">
        <w:t xml:space="preserve">, </w:t>
      </w:r>
      <w:r w:rsidRPr="005C4E75">
        <w:t>which minimize the number of customers impacted by outages and reduce restoration times via automated restoration schemes.</w:t>
      </w:r>
      <w:r w:rsidR="00A047A6" w:rsidRPr="005C4E75">
        <w:t xml:space="preserve">  </w:t>
      </w:r>
      <w:r w:rsidRPr="005C4E75">
        <w:t xml:space="preserve">More than half of customers are now served by </w:t>
      </w:r>
      <w:r w:rsidR="00785C82">
        <w:t>these networks</w:t>
      </w:r>
      <w:r w:rsidRPr="005C4E75">
        <w:t>.</w:t>
      </w:r>
    </w:p>
    <w:p w14:paraId="24A708A7" w14:textId="77777777" w:rsidR="00B31B75" w:rsidRDefault="00B31B75" w:rsidP="00B31B75">
      <w:pPr>
        <w:pStyle w:val="ListParagraph"/>
        <w:spacing w:line="360" w:lineRule="auto"/>
        <w:ind w:left="1440"/>
        <w:jc w:val="both"/>
      </w:pPr>
    </w:p>
    <w:p w14:paraId="3703B613" w14:textId="614BD343" w:rsidR="0060577C" w:rsidRDefault="00A047A6" w:rsidP="0060577C">
      <w:pPr>
        <w:spacing w:line="360" w:lineRule="auto"/>
        <w:ind w:left="720"/>
        <w:jc w:val="both"/>
      </w:pPr>
      <w:r w:rsidRPr="00CC5142">
        <w:t>Georgia Power has</w:t>
      </w:r>
      <w:r w:rsidR="003F2AAE">
        <w:t xml:space="preserve"> and will continue to meet its environmental compliance </w:t>
      </w:r>
      <w:r w:rsidR="00B66E86">
        <w:t xml:space="preserve">obligations </w:t>
      </w:r>
      <w:r w:rsidR="003F2AAE">
        <w:t>in a cost-effective manner</w:t>
      </w:r>
      <w:r w:rsidR="00CC5142" w:rsidRPr="00CC5142">
        <w:t xml:space="preserve">. </w:t>
      </w:r>
      <w:r>
        <w:t>The Company</w:t>
      </w:r>
      <w:r w:rsidR="0060577C">
        <w:t xml:space="preserve"> installed environmental controls and made updates necessary to comply with state and federal environmental requirements</w:t>
      </w:r>
      <w:r w:rsidR="006C52CF">
        <w:t>,</w:t>
      </w:r>
      <w:r w:rsidR="0060577C">
        <w:t xml:space="preserve"> including the Mercury and Air Toxics Standards (</w:t>
      </w:r>
      <w:r w:rsidR="00564E55">
        <w:t>“</w:t>
      </w:r>
      <w:r w:rsidR="0060577C">
        <w:t>MATS</w:t>
      </w:r>
      <w:r w:rsidR="00564E55">
        <w:t>”</w:t>
      </w:r>
      <w:r w:rsidR="0060577C">
        <w:t>) Rule; the Clean Water Act (</w:t>
      </w:r>
      <w:r w:rsidR="00564E55">
        <w:t>“</w:t>
      </w:r>
      <w:r w:rsidR="0060577C">
        <w:t>CWA</w:t>
      </w:r>
      <w:r w:rsidR="00564E55">
        <w:t>”</w:t>
      </w:r>
      <w:r w:rsidR="0060577C">
        <w:t>)</w:t>
      </w:r>
      <w:r w:rsidR="00564E55">
        <w:t>;</w:t>
      </w:r>
      <w:r w:rsidR="0060577C">
        <w:t xml:space="preserve"> Section 316 requirements; CWA’s 1982 Steam Electric Power Plant Effluent Limitations Guidelines (</w:t>
      </w:r>
      <w:r w:rsidR="00564E55">
        <w:t>“</w:t>
      </w:r>
      <w:r w:rsidR="0060577C">
        <w:t>ELGs</w:t>
      </w:r>
      <w:r w:rsidR="00564E55">
        <w:t>”</w:t>
      </w:r>
      <w:r w:rsidR="0060577C">
        <w:t>); Resource Conservation and Recovery Act (</w:t>
      </w:r>
      <w:r w:rsidR="00564E55">
        <w:t>“</w:t>
      </w:r>
      <w:r w:rsidR="0060577C">
        <w:t>RCRA</w:t>
      </w:r>
      <w:r w:rsidR="00564E55">
        <w:t>”</w:t>
      </w:r>
      <w:r w:rsidR="0060577C">
        <w:t xml:space="preserve">); and Georgia </w:t>
      </w:r>
      <w:r w:rsidR="0060577C">
        <w:lastRenderedPageBreak/>
        <w:t>Rules for Solid Waste Management</w:t>
      </w:r>
      <w:r w:rsidR="003C1275">
        <w:t>, which</w:t>
      </w:r>
      <w:r w:rsidR="0060577C">
        <w:t xml:space="preserve"> includ</w:t>
      </w:r>
      <w:r w:rsidR="003C1275">
        <w:t>es</w:t>
      </w:r>
      <w:r w:rsidR="0060577C">
        <w:t xml:space="preserve"> the State CCR</w:t>
      </w:r>
      <w:r w:rsidR="00395543">
        <w:t xml:space="preserve"> </w:t>
      </w:r>
      <w:r w:rsidR="0060577C">
        <w:t xml:space="preserve">Rule. These investments along with </w:t>
      </w:r>
      <w:r w:rsidR="003F2AAE">
        <w:t xml:space="preserve">this Commission’s </w:t>
      </w:r>
      <w:r w:rsidR="0060577C">
        <w:t xml:space="preserve">approved </w:t>
      </w:r>
      <w:r w:rsidR="00B26005">
        <w:t>programs</w:t>
      </w:r>
      <w:r w:rsidR="0060577C">
        <w:t xml:space="preserve"> include: baghouses</w:t>
      </w:r>
      <w:r w:rsidR="003C1275">
        <w:t>,</w:t>
      </w:r>
      <w:r w:rsidR="00AF61FE">
        <w:t xml:space="preserve"> </w:t>
      </w:r>
      <w:r w:rsidR="0060577C">
        <w:t>gas conversions</w:t>
      </w:r>
      <w:r w:rsidR="003C1275">
        <w:t>,</w:t>
      </w:r>
      <w:r w:rsidR="00AF61FE">
        <w:t xml:space="preserve"> </w:t>
      </w:r>
      <w:r w:rsidR="0060577C">
        <w:t>scrubbers</w:t>
      </w:r>
      <w:r w:rsidR="003C1275">
        <w:t>,</w:t>
      </w:r>
      <w:r w:rsidR="00AF61FE">
        <w:t xml:space="preserve"> </w:t>
      </w:r>
      <w:r w:rsidR="0060577C">
        <w:t>landfill construction</w:t>
      </w:r>
      <w:r w:rsidR="003C1275">
        <w:t>,</w:t>
      </w:r>
      <w:r w:rsidR="00AF61FE">
        <w:t xml:space="preserve"> </w:t>
      </w:r>
      <w:r w:rsidR="0060577C">
        <w:t>dry ash management systems</w:t>
      </w:r>
      <w:r w:rsidR="00A667C2">
        <w:t>,</w:t>
      </w:r>
      <w:r w:rsidR="00AF61FE">
        <w:t xml:space="preserve"> </w:t>
      </w:r>
      <w:r w:rsidR="0060577C">
        <w:t xml:space="preserve">and wastewater treatment systems. These compliance efforts also include </w:t>
      </w:r>
      <w:r w:rsidR="00D96E46">
        <w:t>plans for</w:t>
      </w:r>
      <w:r w:rsidR="00B26005">
        <w:t xml:space="preserve"> </w:t>
      </w:r>
      <w:r w:rsidR="0060577C">
        <w:t>clos</w:t>
      </w:r>
      <w:r w:rsidR="00B26005">
        <w:t xml:space="preserve">ure </w:t>
      </w:r>
      <w:r w:rsidR="00E45B4C">
        <w:t xml:space="preserve">of the </w:t>
      </w:r>
      <w:r w:rsidR="002E2913">
        <w:t>C</w:t>
      </w:r>
      <w:r w:rsidR="00E45B4C">
        <w:t xml:space="preserve">ompany’s </w:t>
      </w:r>
      <w:r w:rsidR="0060577C">
        <w:t>29 ash ponds</w:t>
      </w:r>
      <w:r w:rsidR="00E45B4C">
        <w:t xml:space="preserve"> across the state.  The </w:t>
      </w:r>
      <w:r w:rsidR="002E2913">
        <w:t>C</w:t>
      </w:r>
      <w:r w:rsidR="00E45B4C">
        <w:t xml:space="preserve">ompany is </w:t>
      </w:r>
      <w:r w:rsidR="0060577C">
        <w:t xml:space="preserve">removing the ash from 19 ponds located adjacent to lakes or rivers and closing the remaining </w:t>
      </w:r>
      <w:r w:rsidR="002E2913">
        <w:t>10</w:t>
      </w:r>
      <w:r w:rsidR="00564E55">
        <w:t xml:space="preserve"> </w:t>
      </w:r>
      <w:r w:rsidR="0060577C">
        <w:t>ponds in place using advanced engineering methods.</w:t>
      </w:r>
    </w:p>
    <w:p w14:paraId="246CD4B7" w14:textId="77777777" w:rsidR="0060577C" w:rsidRDefault="0060577C" w:rsidP="0060577C">
      <w:pPr>
        <w:spacing w:line="360" w:lineRule="auto"/>
        <w:jc w:val="both"/>
        <w:rPr>
          <w:b/>
        </w:rPr>
      </w:pPr>
    </w:p>
    <w:p w14:paraId="7E2933D6" w14:textId="77777777" w:rsidR="0060577C" w:rsidRPr="00F46187" w:rsidRDefault="0060577C" w:rsidP="0060577C">
      <w:pPr>
        <w:spacing w:line="360" w:lineRule="auto"/>
        <w:ind w:left="720" w:hanging="720"/>
        <w:jc w:val="both"/>
      </w:pPr>
      <w:r>
        <w:rPr>
          <w:b/>
        </w:rPr>
        <w:t>Q.</w:t>
      </w:r>
      <w:r>
        <w:rPr>
          <w:b/>
        </w:rPr>
        <w:tab/>
      </w:r>
      <w:r w:rsidRPr="00D33F68">
        <w:rPr>
          <w:b/>
        </w:rPr>
        <w:t xml:space="preserve">WHAT HAS THE COMPANY </w:t>
      </w:r>
      <w:r>
        <w:rPr>
          <w:b/>
        </w:rPr>
        <w:t xml:space="preserve">DONE TO MAINTAIN OR IMPROVE ITS EXCELLENT </w:t>
      </w:r>
      <w:r w:rsidRPr="00D33F68">
        <w:rPr>
          <w:b/>
        </w:rPr>
        <w:t>CUSTOMER SERVICE?</w:t>
      </w:r>
    </w:p>
    <w:p w14:paraId="0DB6A443" w14:textId="570583D5" w:rsidR="0060577C" w:rsidRDefault="0060577C" w:rsidP="0060577C">
      <w:pPr>
        <w:spacing w:line="360" w:lineRule="auto"/>
        <w:ind w:left="720" w:hanging="720"/>
        <w:jc w:val="both"/>
      </w:pPr>
      <w:r>
        <w:t>A.</w:t>
      </w:r>
      <w:r>
        <w:tab/>
        <w:t xml:space="preserve">Georgia Power currently serves more than 2.6 million customers in all but four counties throughout the state of Georgia. </w:t>
      </w:r>
      <w:r w:rsidR="00B31B75">
        <w:t xml:space="preserve"> </w:t>
      </w:r>
      <w:r>
        <w:t xml:space="preserve">Since 2013, </w:t>
      </w:r>
      <w:r w:rsidR="006A2474">
        <w:t xml:space="preserve">the Company’s </w:t>
      </w:r>
      <w:r>
        <w:t xml:space="preserve">customer base has grown by approximately </w:t>
      </w:r>
      <w:r w:rsidR="00A667C2">
        <w:t>6%</w:t>
      </w:r>
      <w:r>
        <w:t xml:space="preserve">, adding more than 150,000 new customers. While </w:t>
      </w:r>
      <w:r w:rsidR="006A2474">
        <w:t xml:space="preserve">the </w:t>
      </w:r>
      <w:r>
        <w:t xml:space="preserve">customer base continues </w:t>
      </w:r>
      <w:r w:rsidR="000338D9">
        <w:t>growing</w:t>
      </w:r>
      <w:r>
        <w:t>, it is also changing</w:t>
      </w:r>
      <w:r w:rsidR="00E45B4C">
        <w:t xml:space="preserve"> in a number of ways</w:t>
      </w:r>
      <w:r>
        <w:t xml:space="preserve">.  Customers expect and deserve the highest reliability at </w:t>
      </w:r>
      <w:r w:rsidR="001840B5">
        <w:t>a reasonable cost</w:t>
      </w:r>
      <w:r w:rsidR="00B66E86">
        <w:t>,</w:t>
      </w:r>
      <w:r w:rsidR="001840B5">
        <w:t xml:space="preserve"> </w:t>
      </w:r>
      <w:r>
        <w:t xml:space="preserve">with </w:t>
      </w:r>
      <w:r w:rsidRPr="005C2A34">
        <w:t>more control</w:t>
      </w:r>
      <w:r w:rsidR="001840B5">
        <w:t>,</w:t>
      </w:r>
      <w:r w:rsidRPr="005C2A34">
        <w:t xml:space="preserve"> convenience </w:t>
      </w:r>
      <w:r w:rsidR="001840B5">
        <w:t xml:space="preserve">and flexibility </w:t>
      </w:r>
      <w:r w:rsidRPr="005C2A34">
        <w:t>when it comes to managing their energy consumption</w:t>
      </w:r>
      <w:r w:rsidR="00E45B4C">
        <w:t>.</w:t>
      </w:r>
      <w:r w:rsidR="00395543">
        <w:t xml:space="preserve"> </w:t>
      </w:r>
      <w:r w:rsidR="00E45B4C">
        <w:t>They also want more engagement via multiple communication channels</w:t>
      </w:r>
      <w:r w:rsidR="006C52CF">
        <w:t>,</w:t>
      </w:r>
      <w:r w:rsidR="00E45B4C">
        <w:t xml:space="preserve"> including social media. </w:t>
      </w:r>
      <w:r w:rsidR="006A2474">
        <w:t>The Company has</w:t>
      </w:r>
      <w:r>
        <w:t xml:space="preserve"> continuously evolved </w:t>
      </w:r>
      <w:r w:rsidR="006A2474">
        <w:t xml:space="preserve">its </w:t>
      </w:r>
      <w:r>
        <w:t>programs and services to meet customers</w:t>
      </w:r>
      <w:r w:rsidR="006A2474">
        <w:t>’</w:t>
      </w:r>
      <w:r>
        <w:t xml:space="preserve"> changing energy needs</w:t>
      </w:r>
      <w:r w:rsidR="006C52CF">
        <w:t>,</w:t>
      </w:r>
      <w:r>
        <w:t xml:space="preserve"> including offering a wide variety of rate</w:t>
      </w:r>
      <w:r w:rsidR="00E45B4C">
        <w:t xml:space="preserve"> options</w:t>
      </w:r>
      <w:r>
        <w:t xml:space="preserve"> that fit our customers’ lifestyles and help them use energy more efficiently.</w:t>
      </w:r>
    </w:p>
    <w:p w14:paraId="32C85A35" w14:textId="77777777" w:rsidR="0060577C" w:rsidRDefault="0060577C" w:rsidP="0060577C">
      <w:pPr>
        <w:spacing w:line="360" w:lineRule="auto"/>
        <w:jc w:val="both"/>
      </w:pPr>
    </w:p>
    <w:p w14:paraId="56B07504" w14:textId="6E3A7537" w:rsidR="0060577C" w:rsidRPr="00E21AC5" w:rsidRDefault="006A2474" w:rsidP="009E5E52">
      <w:pPr>
        <w:spacing w:line="360" w:lineRule="auto"/>
        <w:ind w:left="720"/>
        <w:jc w:val="both"/>
      </w:pPr>
      <w:r>
        <w:t>Georgia Power</w:t>
      </w:r>
      <w:r w:rsidRPr="00F81785">
        <w:t xml:space="preserve"> </w:t>
      </w:r>
      <w:r w:rsidR="0060577C" w:rsidRPr="00F81785">
        <w:t xml:space="preserve">launched new billing and payment </w:t>
      </w:r>
      <w:r w:rsidR="00E45B4C">
        <w:t>platforms</w:t>
      </w:r>
      <w:r w:rsidR="0060577C" w:rsidRPr="00F81785">
        <w:t>, giving consumers greater control over how and when they pay their electric bill.</w:t>
      </w:r>
      <w:r>
        <w:t xml:space="preserve"> The Company i</w:t>
      </w:r>
      <w:r w:rsidR="0060577C" w:rsidRPr="008C0EBA">
        <w:t>ntroduced more than 4,000 Authorized Payment Locations</w:t>
      </w:r>
      <w:r w:rsidR="0070677C">
        <w:t xml:space="preserve"> </w:t>
      </w:r>
      <w:r w:rsidR="0070677C" w:rsidRPr="0070677C">
        <w:t>(“APLs”)</w:t>
      </w:r>
      <w:r w:rsidR="0070677C">
        <w:t xml:space="preserve">, </w:t>
      </w:r>
      <w:r w:rsidR="0060577C" w:rsidRPr="008C0EBA">
        <w:t>allowing customers to make in-</w:t>
      </w:r>
      <w:r w:rsidR="0060577C" w:rsidRPr="008C0EBA">
        <w:lastRenderedPageBreak/>
        <w:t xml:space="preserve">person payments at retail and grocery stores across the state – even during evening and weekend hours. </w:t>
      </w:r>
      <w:r>
        <w:t>The Company l</w:t>
      </w:r>
      <w:r w:rsidR="0060577C" w:rsidRPr="008C0EBA">
        <w:t xml:space="preserve">aunched Georgia Power CheckOut, a fast and convenient way for customers to pay their bills while checking out at participating retailers. </w:t>
      </w:r>
      <w:bookmarkStart w:id="5" w:name="_Hlk11140351"/>
      <w:r w:rsidR="00304DB2">
        <w:t>We</w:t>
      </w:r>
      <w:r>
        <w:t xml:space="preserve"> also l</w:t>
      </w:r>
      <w:r w:rsidR="0060577C" w:rsidRPr="008C0EBA">
        <w:t xml:space="preserve">aunched PrePay, which gives residential consumers payment flexibility to make multiple smaller payments each month. </w:t>
      </w:r>
      <w:r w:rsidR="0060577C">
        <w:t xml:space="preserve"> More than 6</w:t>
      </w:r>
      <w:r w:rsidR="00C76688">
        <w:t>6</w:t>
      </w:r>
      <w:r w:rsidR="0060577C">
        <w:t>,000 customers currently use this option.</w:t>
      </w:r>
      <w:r w:rsidR="00A20D2D">
        <w:t xml:space="preserve">  </w:t>
      </w:r>
      <w:r>
        <w:t xml:space="preserve">Further, the Company </w:t>
      </w:r>
      <w:r w:rsidR="00911E6E">
        <w:t xml:space="preserve">launched </w:t>
      </w:r>
      <w:r w:rsidR="0060577C" w:rsidRPr="00E21AC5">
        <w:t>a Pay</w:t>
      </w:r>
      <w:r w:rsidR="001840B5">
        <w:t>-</w:t>
      </w:r>
      <w:r w:rsidR="0060577C" w:rsidRPr="00E21AC5">
        <w:t>by</w:t>
      </w:r>
      <w:r w:rsidR="001840B5">
        <w:t>-</w:t>
      </w:r>
      <w:r w:rsidR="0060577C" w:rsidRPr="00E21AC5">
        <w:t xml:space="preserve">Day </w:t>
      </w:r>
      <w:r w:rsidR="00911E6E">
        <w:t xml:space="preserve">pilot to study </w:t>
      </w:r>
      <w:r w:rsidR="0060577C" w:rsidRPr="00E21AC5">
        <w:t xml:space="preserve">another option </w:t>
      </w:r>
      <w:r w:rsidR="00911E6E">
        <w:t>to help customers</w:t>
      </w:r>
      <w:r w:rsidR="0060577C" w:rsidRPr="00E21AC5">
        <w:t xml:space="preserve"> manag</w:t>
      </w:r>
      <w:r w:rsidR="00911E6E">
        <w:t>e</w:t>
      </w:r>
      <w:r w:rsidR="0060577C" w:rsidRPr="00E21AC5">
        <w:t xml:space="preserve"> their account</w:t>
      </w:r>
      <w:r w:rsidR="0060577C" w:rsidRPr="003D4E47">
        <w:t>.</w:t>
      </w:r>
      <w:r w:rsidR="00E45B4C" w:rsidRPr="003D4E47">
        <w:t xml:space="preserve"> We also have more than </w:t>
      </w:r>
      <w:r w:rsidR="00C76688" w:rsidRPr="003D4E47">
        <w:t xml:space="preserve">485,000 </w:t>
      </w:r>
      <w:r w:rsidR="00E45B4C" w:rsidRPr="003D4E47">
        <w:t>customers enrolled in other bill management option</w:t>
      </w:r>
      <w:r w:rsidR="006C52CF">
        <w:t>s</w:t>
      </w:r>
      <w:r w:rsidR="00E45B4C" w:rsidRPr="003D4E47">
        <w:t xml:space="preserve">, </w:t>
      </w:r>
      <w:r w:rsidR="00C76688" w:rsidRPr="003D4E47">
        <w:t>including</w:t>
      </w:r>
      <w:r w:rsidR="00E45B4C" w:rsidRPr="003D4E47">
        <w:t xml:space="preserve"> budget billing.  In total, </w:t>
      </w:r>
      <w:r w:rsidR="00C76688" w:rsidRPr="003D4E47">
        <w:t>more than 21</w:t>
      </w:r>
      <w:r w:rsidR="00E45B4C" w:rsidRPr="003D4E47">
        <w:t xml:space="preserve">% of customers are enrolled in one of our </w:t>
      </w:r>
      <w:r w:rsidR="002E2913">
        <w:t>alternative rates or programs</w:t>
      </w:r>
      <w:r w:rsidR="00E45B4C" w:rsidRPr="003D4E47">
        <w:t>.</w:t>
      </w:r>
    </w:p>
    <w:bookmarkEnd w:id="5"/>
    <w:p w14:paraId="0117E2AD" w14:textId="77777777" w:rsidR="00304DB2" w:rsidRDefault="00304DB2" w:rsidP="003F7498">
      <w:pPr>
        <w:spacing w:line="360" w:lineRule="auto"/>
        <w:ind w:left="720"/>
        <w:jc w:val="both"/>
      </w:pPr>
    </w:p>
    <w:p w14:paraId="7491FF00" w14:textId="236F95EC" w:rsidR="002B7933" w:rsidRDefault="006A2474" w:rsidP="002B7933">
      <w:pPr>
        <w:spacing w:line="360" w:lineRule="auto"/>
        <w:ind w:left="720"/>
        <w:jc w:val="both"/>
      </w:pPr>
      <w:r>
        <w:t>Georgia Power</w:t>
      </w:r>
      <w:r w:rsidRPr="008D3F60">
        <w:t xml:space="preserve"> </w:t>
      </w:r>
      <w:r w:rsidR="0060577C" w:rsidRPr="008D3F60">
        <w:t xml:space="preserve">also added a set of digital tools that </w:t>
      </w:r>
      <w:r w:rsidR="0060577C">
        <w:t>enable</w:t>
      </w:r>
      <w:r w:rsidR="0060577C" w:rsidRPr="008D3F60">
        <w:t xml:space="preserve"> customers to more readily access and manage their account – adapting as our customer</w:t>
      </w:r>
      <w:r w:rsidR="002E2913">
        <w:t>s’</w:t>
      </w:r>
      <w:r w:rsidR="006C52CF">
        <w:t xml:space="preserve"> </w:t>
      </w:r>
      <w:r w:rsidR="0060577C" w:rsidRPr="008D3F60">
        <w:t>expectations have evolved.</w:t>
      </w:r>
      <w:r>
        <w:t xml:space="preserve"> The Company r</w:t>
      </w:r>
      <w:r w:rsidR="0060577C" w:rsidRPr="008D3F60">
        <w:t>olled out a mobile app for easy account access and bill payment from a digital device</w:t>
      </w:r>
      <w:r>
        <w:t xml:space="preserve"> and e</w:t>
      </w:r>
      <w:r w:rsidR="0060577C" w:rsidRPr="008D3F60">
        <w:t xml:space="preserve">nhanced georgiapower.com by adding an outage map and service restoration information to the </w:t>
      </w:r>
      <w:r w:rsidR="0060577C">
        <w:t>C</w:t>
      </w:r>
      <w:r w:rsidR="0060577C" w:rsidRPr="008D3F60">
        <w:t>ompany’s storm page.</w:t>
      </w:r>
      <w:r>
        <w:t xml:space="preserve"> Georgia Power u</w:t>
      </w:r>
      <w:r w:rsidR="0060577C" w:rsidRPr="008D3F60">
        <w:t xml:space="preserve">pgraded </w:t>
      </w:r>
      <w:r>
        <w:t>the</w:t>
      </w:r>
      <w:r w:rsidRPr="008D3F60">
        <w:t xml:space="preserve"> </w:t>
      </w:r>
      <w:r w:rsidR="0060577C" w:rsidRPr="008D3F60">
        <w:t>online customer care (</w:t>
      </w:r>
      <w:r>
        <w:t>“</w:t>
      </w:r>
      <w:r w:rsidR="0060577C" w:rsidRPr="008D3F60">
        <w:t>OCC</w:t>
      </w:r>
      <w:r>
        <w:t>”</w:t>
      </w:r>
      <w:r w:rsidR="0060577C" w:rsidRPr="008D3F60">
        <w:t>) website</w:t>
      </w:r>
      <w:r w:rsidR="0060577C">
        <w:t xml:space="preserve"> to provide a more personalized experience for customers visiting the site</w:t>
      </w:r>
      <w:r w:rsidR="0060577C" w:rsidRPr="008D3F60">
        <w:t xml:space="preserve">. </w:t>
      </w:r>
      <w:r w:rsidR="0060577C">
        <w:t xml:space="preserve">The OCC </w:t>
      </w:r>
      <w:r w:rsidR="0060577C" w:rsidRPr="008D3F60">
        <w:t xml:space="preserve">is </w:t>
      </w:r>
      <w:r>
        <w:t>the Company’s</w:t>
      </w:r>
      <w:r w:rsidRPr="008D3F60">
        <w:t xml:space="preserve"> </w:t>
      </w:r>
      <w:r w:rsidR="0060577C" w:rsidRPr="008D3F60">
        <w:t>fastest growing customer service channel,</w:t>
      </w:r>
      <w:r w:rsidR="0060577C">
        <w:t xml:space="preserve"> and, o</w:t>
      </w:r>
      <w:r w:rsidR="0060577C" w:rsidRPr="008D3F60">
        <w:t>ver the past five years</w:t>
      </w:r>
      <w:r w:rsidR="0060577C">
        <w:t xml:space="preserve">, </w:t>
      </w:r>
      <w:r w:rsidR="0060577C" w:rsidRPr="008D3F60">
        <w:t>OCC transaction</w:t>
      </w:r>
      <w:r w:rsidR="001840B5">
        <w:t xml:space="preserve"> volume </w:t>
      </w:r>
      <w:r w:rsidR="0060577C" w:rsidRPr="008D3F60">
        <w:t>ha</w:t>
      </w:r>
      <w:r w:rsidR="001840B5">
        <w:t>s</w:t>
      </w:r>
      <w:r w:rsidR="0060577C" w:rsidRPr="008D3F60">
        <w:t xml:space="preserve"> grown by an average of 15</w:t>
      </w:r>
      <w:r>
        <w:t xml:space="preserve">% </w:t>
      </w:r>
      <w:r w:rsidR="0060577C" w:rsidRPr="008D3F60">
        <w:t xml:space="preserve">per year. </w:t>
      </w:r>
      <w:r>
        <w:t>The Company</w:t>
      </w:r>
      <w:r w:rsidR="00A20D2D">
        <w:t xml:space="preserve"> also</w:t>
      </w:r>
      <w:r>
        <w:t xml:space="preserve"> i</w:t>
      </w:r>
      <w:r w:rsidR="0060577C" w:rsidRPr="008D3F60">
        <w:t>ntroduced chat support on georgiapower.com</w:t>
      </w:r>
      <w:r>
        <w:t xml:space="preserve"> and has e</w:t>
      </w:r>
      <w:r w:rsidR="0060577C" w:rsidRPr="008D3F60">
        <w:t xml:space="preserve">mbraced social media as a critical channel for customer service – establishing </w:t>
      </w:r>
      <w:r w:rsidR="0060577C">
        <w:t>the Company’s Social Media Command Center in 2016.</w:t>
      </w:r>
      <w:bookmarkStart w:id="6" w:name="_Hlk8983407"/>
      <w:r w:rsidR="002B7933">
        <w:br w:type="page"/>
      </w:r>
    </w:p>
    <w:p w14:paraId="69484917" w14:textId="4F1A531B" w:rsidR="0060577C" w:rsidRDefault="0060577C" w:rsidP="0060577C">
      <w:pPr>
        <w:spacing w:line="360" w:lineRule="auto"/>
        <w:ind w:left="720"/>
        <w:jc w:val="both"/>
      </w:pPr>
      <w:r w:rsidRPr="00B164D5">
        <w:lastRenderedPageBreak/>
        <w:t xml:space="preserve">Since 2013, </w:t>
      </w:r>
      <w:r w:rsidR="009E5E52" w:rsidRPr="00B164D5">
        <w:t>Georgia Power has</w:t>
      </w:r>
      <w:r w:rsidRPr="00B164D5">
        <w:t xml:space="preserve"> been consistently recognized by J.D. Power for excellence in customer satisfaction. </w:t>
      </w:r>
      <w:r w:rsidR="00B164D5" w:rsidRPr="00B164D5">
        <w:t>The Company was ranked No.</w:t>
      </w:r>
      <w:r w:rsidR="00BA274F">
        <w:t xml:space="preserve"> </w:t>
      </w:r>
      <w:r w:rsidR="00B164D5" w:rsidRPr="00B164D5">
        <w:t xml:space="preserve">1 in the 2019 Electric Utilities </w:t>
      </w:r>
      <w:r w:rsidR="00BD37C0">
        <w:t xml:space="preserve">Residential </w:t>
      </w:r>
      <w:r w:rsidR="00B164D5" w:rsidRPr="00B164D5">
        <w:t>Customer Satisfaction study for large utilities in the South.</w:t>
      </w:r>
      <w:r w:rsidR="002124E3">
        <w:t xml:space="preserve"> (The Business Satisfaction rankings will be announced later this year.)</w:t>
      </w:r>
      <w:r w:rsidR="00B164D5" w:rsidRPr="00B164D5">
        <w:t xml:space="preserve"> In 2018, the </w:t>
      </w:r>
      <w:r w:rsidRPr="00B164D5">
        <w:t xml:space="preserve">Company was ranked </w:t>
      </w:r>
      <w:r w:rsidR="00E45B4C" w:rsidRPr="00B164D5">
        <w:t>N</w:t>
      </w:r>
      <w:r w:rsidR="00A667C2" w:rsidRPr="00B164D5">
        <w:t>o.</w:t>
      </w:r>
      <w:r w:rsidR="00E45B4C" w:rsidRPr="00B164D5">
        <w:t xml:space="preserve"> 1 in</w:t>
      </w:r>
      <w:r w:rsidRPr="00B164D5">
        <w:t xml:space="preserve"> both Electric Utility Business and </w:t>
      </w:r>
      <w:r w:rsidR="00BD37C0">
        <w:t xml:space="preserve">Residential </w:t>
      </w:r>
      <w:r w:rsidRPr="00B164D5">
        <w:t xml:space="preserve">Customer Satisfaction studies for large utilities in the South. </w:t>
      </w:r>
      <w:r w:rsidR="009E5E52" w:rsidRPr="00B164D5">
        <w:t>The Company has</w:t>
      </w:r>
      <w:r w:rsidRPr="00B164D5">
        <w:t xml:space="preserve"> also consistently been recognized for both customer value and</w:t>
      </w:r>
      <w:r w:rsidRPr="00E21AC5">
        <w:t xml:space="preserve"> experience by the annual Customer Value Benchmark Survey, which compares customer value among peer utilities across the nation, and the Temkin Experience Ratings, an annual customer experience survey. </w:t>
      </w:r>
      <w:r w:rsidR="009E5E52" w:rsidRPr="00E21AC5">
        <w:t xml:space="preserve">Georgia Power </w:t>
      </w:r>
      <w:r w:rsidRPr="00E21AC5">
        <w:t>ha</w:t>
      </w:r>
      <w:r w:rsidR="001840B5">
        <w:t>s</w:t>
      </w:r>
      <w:r w:rsidRPr="00E21AC5">
        <w:t xml:space="preserve"> also been recognized as a Most Trusted Brand by </w:t>
      </w:r>
      <w:r w:rsidR="00155B3B">
        <w:t xml:space="preserve">Escalent (formerly </w:t>
      </w:r>
      <w:r w:rsidRPr="00E21AC5">
        <w:t>Market Strategies International</w:t>
      </w:r>
      <w:r w:rsidR="00155B3B">
        <w:t>)</w:t>
      </w:r>
      <w:r w:rsidRPr="00E21AC5">
        <w:t>.</w:t>
      </w:r>
      <w:r w:rsidRPr="001B7491">
        <w:t xml:space="preserve"> </w:t>
      </w:r>
    </w:p>
    <w:bookmarkEnd w:id="6"/>
    <w:p w14:paraId="1533DEFA" w14:textId="77777777" w:rsidR="0070028F" w:rsidRDefault="0070028F" w:rsidP="0060577C">
      <w:pPr>
        <w:spacing w:line="360" w:lineRule="auto"/>
        <w:ind w:left="720" w:hanging="720"/>
        <w:jc w:val="both"/>
        <w:rPr>
          <w:b/>
        </w:rPr>
      </w:pPr>
    </w:p>
    <w:p w14:paraId="2DEF2D2F" w14:textId="6E4345B9" w:rsidR="0070028F" w:rsidRPr="0070028F" w:rsidRDefault="00191972" w:rsidP="00191972">
      <w:pPr>
        <w:spacing w:line="360" w:lineRule="auto"/>
        <w:ind w:left="720" w:hanging="720"/>
        <w:jc w:val="both"/>
        <w:rPr>
          <w:b/>
        </w:rPr>
      </w:pPr>
      <w:r>
        <w:rPr>
          <w:b/>
        </w:rPr>
        <w:t xml:space="preserve">Q. </w:t>
      </w:r>
      <w:r>
        <w:rPr>
          <w:b/>
        </w:rPr>
        <w:tab/>
      </w:r>
      <w:r w:rsidR="0070028F" w:rsidRPr="0070028F">
        <w:rPr>
          <w:b/>
        </w:rPr>
        <w:t>PLEASE SUMMARIZE THE COMPANY’S STORM RESPONSE OVER THE LAST SIX YEAR</w:t>
      </w:r>
      <w:r>
        <w:rPr>
          <w:b/>
        </w:rPr>
        <w:t>S</w:t>
      </w:r>
      <w:r w:rsidR="0070028F" w:rsidRPr="0070028F">
        <w:rPr>
          <w:b/>
        </w:rPr>
        <w:t xml:space="preserve">. </w:t>
      </w:r>
    </w:p>
    <w:p w14:paraId="4BA520EA" w14:textId="21FE1DD3" w:rsidR="0070028F" w:rsidRPr="0070028F" w:rsidRDefault="0070028F" w:rsidP="0070028F">
      <w:pPr>
        <w:spacing w:line="360" w:lineRule="auto"/>
        <w:ind w:left="720" w:hanging="720"/>
        <w:jc w:val="both"/>
      </w:pPr>
      <w:r w:rsidRPr="00542780">
        <w:t>A.</w:t>
      </w:r>
      <w:r w:rsidRPr="0070028F">
        <w:rPr>
          <w:b/>
        </w:rPr>
        <w:t xml:space="preserve"> </w:t>
      </w:r>
      <w:r w:rsidRPr="0070028F">
        <w:tab/>
        <w:t xml:space="preserve">Georgia Power’s teams </w:t>
      </w:r>
      <w:r w:rsidR="00D3771F">
        <w:t xml:space="preserve">have been tested and succeeded </w:t>
      </w:r>
      <w:r w:rsidRPr="0070028F">
        <w:t xml:space="preserve">during multiple historic weather events throughout the last six years. More than 50 weather events have impacted </w:t>
      </w:r>
      <w:r w:rsidR="00D3771F">
        <w:t xml:space="preserve">our network and </w:t>
      </w:r>
      <w:r w:rsidR="00780CB1">
        <w:t>nearly</w:t>
      </w:r>
      <w:r w:rsidR="00D3771F">
        <w:t xml:space="preserve"> all of our customers</w:t>
      </w:r>
      <w:r w:rsidRPr="0070028F">
        <w:t>.  The most significant include:</w:t>
      </w:r>
    </w:p>
    <w:p w14:paraId="71671134" w14:textId="1382D72F" w:rsidR="00AF2243" w:rsidRDefault="00AF2243" w:rsidP="00AF2243">
      <w:pPr>
        <w:spacing w:line="360" w:lineRule="auto"/>
        <w:ind w:left="720"/>
        <w:jc w:val="both"/>
      </w:pPr>
      <w:r w:rsidRPr="00AF2243">
        <w:rPr>
          <w:b/>
        </w:rPr>
        <w:t>Hurricane Michael (2018):</w:t>
      </w:r>
      <w:r>
        <w:t xml:space="preserve">  Hurricane Michael was the third-strongest hurricane to make landfall in the U</w:t>
      </w:r>
      <w:r w:rsidR="00A667C2">
        <w:t>nited States</w:t>
      </w:r>
      <w:r>
        <w:t xml:space="preserve"> in modern recorded history. Entering Georgia as a Category 4 storm, it brought high winds, heavy rainfall</w:t>
      </w:r>
      <w:r w:rsidR="006C52CF">
        <w:t>,</w:t>
      </w:r>
      <w:r>
        <w:t xml:space="preserve"> and fallen trees that caused extensive damage as it crossed through the state, especially in </w:t>
      </w:r>
      <w:r w:rsidR="006C52CF">
        <w:t>s</w:t>
      </w:r>
      <w:r>
        <w:t xml:space="preserve">outhwest Georgia near Bainbridge, Albany and Tifton. Crews restored power to more than 420,000 customers in four days. The system experienced 7,800 outage events and </w:t>
      </w:r>
      <w:r w:rsidR="0070677C">
        <w:t xml:space="preserve">crews </w:t>
      </w:r>
      <w:r>
        <w:t xml:space="preserve">repaired 2,000 broken poles and 4,800 spans of wire. </w:t>
      </w:r>
    </w:p>
    <w:p w14:paraId="1A0BD986" w14:textId="77777777" w:rsidR="00AF2243" w:rsidRDefault="00AF2243" w:rsidP="00AF2243">
      <w:pPr>
        <w:spacing w:line="360" w:lineRule="auto"/>
        <w:ind w:left="720"/>
        <w:jc w:val="both"/>
      </w:pPr>
      <w:r w:rsidRPr="00AF2243">
        <w:rPr>
          <w:b/>
        </w:rPr>
        <w:lastRenderedPageBreak/>
        <w:t>Hurricane Irma (2017):</w:t>
      </w:r>
      <w:r>
        <w:t xml:space="preserve"> One of the largest storms to strike Georgia in decades, every county in the state was impacted by Hurricane Irma. This strong storm brought high winds, heavy rain and flooding. Restoration crews were in every corner of the state restoring power to more than 1.6 million customers in only four and a half days. The system experienced 23,580 outage events and crews repaired 1,625 broken poles and 4,500 spans of wire. </w:t>
      </w:r>
    </w:p>
    <w:p w14:paraId="53A4B73B" w14:textId="21583B70" w:rsidR="00AF2243" w:rsidRDefault="00AF2243" w:rsidP="00AF2243">
      <w:pPr>
        <w:spacing w:line="360" w:lineRule="auto"/>
        <w:ind w:left="720"/>
        <w:jc w:val="both"/>
      </w:pPr>
      <w:r w:rsidRPr="00AF2243">
        <w:rPr>
          <w:b/>
        </w:rPr>
        <w:t>Hurricane Matthew (2016):</w:t>
      </w:r>
      <w:r>
        <w:t xml:space="preserve"> This was one of the strongest, most destructive hurricanes to hit the Georgia coast in more than a century. The path of the storm and the prevalence of large trees caused the most damage in and around Savannah, with coastal areas</w:t>
      </w:r>
      <w:r w:rsidR="00A667C2">
        <w:t xml:space="preserve"> – </w:t>
      </w:r>
      <w:r>
        <w:t>such as Burnside, Dutch Island, Isle of Hope, White Bluff, Windsor Forest and surrounding communities</w:t>
      </w:r>
      <w:r w:rsidR="00A667C2">
        <w:t xml:space="preserve"> – </w:t>
      </w:r>
      <w:r>
        <w:t>seeing the most severe damage. Crews restored power to more than 370,000 customers in six and a half days. The system experienced 7,900 outage events</w:t>
      </w:r>
      <w:r w:rsidR="006C52CF">
        <w:t>,</w:t>
      </w:r>
      <w:r>
        <w:t xml:space="preserve"> and crews repaired 1,000 broken poles and 2,600 spans of wire. </w:t>
      </w:r>
    </w:p>
    <w:p w14:paraId="02E9EE3C" w14:textId="599402A0" w:rsidR="0070028F" w:rsidRPr="0070028F" w:rsidRDefault="00AF2243" w:rsidP="00AF2243">
      <w:pPr>
        <w:spacing w:line="360" w:lineRule="auto"/>
        <w:ind w:left="720"/>
        <w:jc w:val="both"/>
      </w:pPr>
      <w:r w:rsidRPr="00AF2243">
        <w:rPr>
          <w:b/>
        </w:rPr>
        <w:t>Ice Storm Pax (2014):</w:t>
      </w:r>
      <w:r>
        <w:t xml:space="preserve"> This was one of the most severe ice and snow storms to reach the state in the last decade with a thick sheet of ice coating roadways, cars, power lines and trees. The ice storm downed trees and power lines and virtually shut down transportation in parts of Georgia. Teams restored power to more than 700,000 customers in four days following the </w:t>
      </w:r>
      <w:r w:rsidR="001840B5">
        <w:t>e</w:t>
      </w:r>
      <w:r>
        <w:t>ffects of Pax, repairing 375 broken poles and 2,800 spans of wire.</w:t>
      </w:r>
    </w:p>
    <w:p w14:paraId="5668AB05" w14:textId="77777777" w:rsidR="00B94D7C" w:rsidRDefault="00B94D7C" w:rsidP="0070028F">
      <w:pPr>
        <w:spacing w:line="360" w:lineRule="auto"/>
        <w:ind w:left="720"/>
        <w:jc w:val="both"/>
      </w:pPr>
    </w:p>
    <w:p w14:paraId="50185760" w14:textId="389C40D1" w:rsidR="0070028F" w:rsidRPr="0070028F" w:rsidRDefault="0070028F" w:rsidP="0070028F">
      <w:pPr>
        <w:spacing w:line="360" w:lineRule="auto"/>
        <w:ind w:left="720"/>
        <w:jc w:val="both"/>
      </w:pPr>
      <w:r w:rsidRPr="0070028F">
        <w:t>Georgia Power received the Edison Electric Institute</w:t>
      </w:r>
      <w:r w:rsidR="00A667C2">
        <w:t xml:space="preserve"> (EEI)</w:t>
      </w:r>
      <w:r w:rsidRPr="0070028F">
        <w:t xml:space="preserve"> Emergency Recovery Award – given to select EEI member companies to recognize their efforts to restore power to customers after service interruptions caused by severe weather events or other natural disasters – in five of the last six years for these monumental restoration efforts. This honor and our remarkable performance responding to storms wouldn’t be possible without the </w:t>
      </w:r>
      <w:r w:rsidRPr="0070028F">
        <w:lastRenderedPageBreak/>
        <w:t xml:space="preserve">hard work of the Company’s line crews. On a daily basis, Georgia Power line workers are dedicated to safely delivering reliable energy, innovative solutions and superior value for customers across the state.  </w:t>
      </w:r>
    </w:p>
    <w:p w14:paraId="6FB7468E" w14:textId="77777777" w:rsidR="0070028F" w:rsidRDefault="0070028F" w:rsidP="0060577C">
      <w:pPr>
        <w:spacing w:line="360" w:lineRule="auto"/>
        <w:ind w:left="720" w:hanging="720"/>
        <w:jc w:val="both"/>
        <w:rPr>
          <w:b/>
        </w:rPr>
      </w:pPr>
    </w:p>
    <w:p w14:paraId="5DF90E47" w14:textId="1A815C1B" w:rsidR="0060577C" w:rsidRDefault="0060577C" w:rsidP="0060577C">
      <w:pPr>
        <w:spacing w:line="360" w:lineRule="auto"/>
        <w:ind w:left="720" w:hanging="720"/>
        <w:jc w:val="both"/>
        <w:rPr>
          <w:b/>
        </w:rPr>
      </w:pPr>
      <w:r>
        <w:rPr>
          <w:b/>
        </w:rPr>
        <w:t>Q.</w:t>
      </w:r>
      <w:r>
        <w:rPr>
          <w:b/>
        </w:rPr>
        <w:tab/>
      </w:r>
      <w:r w:rsidRPr="00D33F68">
        <w:rPr>
          <w:b/>
        </w:rPr>
        <w:t>WHAT HAS GEORGIA POWER DONE TO MANAGE ITS COSTS AND IMPROVE EFFICIENCY?</w:t>
      </w:r>
    </w:p>
    <w:p w14:paraId="1C5870AE" w14:textId="08AC179B" w:rsidR="003A23E7" w:rsidRPr="001840B5" w:rsidRDefault="0060577C" w:rsidP="00A3203E">
      <w:pPr>
        <w:spacing w:line="360" w:lineRule="auto"/>
        <w:ind w:left="720" w:hanging="720"/>
        <w:jc w:val="both"/>
        <w:rPr>
          <w:highlight w:val="yellow"/>
        </w:rPr>
      </w:pPr>
      <w:r>
        <w:t>A.</w:t>
      </w:r>
      <w:r>
        <w:tab/>
      </w:r>
      <w:r w:rsidRPr="00D33F68">
        <w:t xml:space="preserve">While continuously evolving all areas of </w:t>
      </w:r>
      <w:r w:rsidR="009E5E52">
        <w:t>the</w:t>
      </w:r>
      <w:r w:rsidR="009E5E52" w:rsidRPr="00D33F68">
        <w:t xml:space="preserve"> </w:t>
      </w:r>
      <w:r w:rsidRPr="00D33F68">
        <w:t>business to meet the changing needs of customers,</w:t>
      </w:r>
      <w:r>
        <w:t xml:space="preserve"> </w:t>
      </w:r>
      <w:r w:rsidR="009E5E52">
        <w:t>the Company has also</w:t>
      </w:r>
      <w:r w:rsidRPr="00D33F68">
        <w:t xml:space="preserve"> focused on</w:t>
      </w:r>
      <w:r w:rsidR="00D3771F">
        <w:t xml:space="preserve"> identifying </w:t>
      </w:r>
      <w:r w:rsidRPr="00D33F68">
        <w:t xml:space="preserve">efficiencies </w:t>
      </w:r>
      <w:r w:rsidR="00D3771F">
        <w:t xml:space="preserve">across </w:t>
      </w:r>
      <w:r w:rsidR="009E5E52">
        <w:t>the</w:t>
      </w:r>
      <w:r w:rsidR="009E5E52" w:rsidRPr="00D33F68">
        <w:t xml:space="preserve"> </w:t>
      </w:r>
      <w:r w:rsidRPr="00D33F68">
        <w:t xml:space="preserve">business. </w:t>
      </w:r>
      <w:r>
        <w:t xml:space="preserve">Over the last six years, </w:t>
      </w:r>
      <w:r w:rsidR="009E5E52">
        <w:t>Georgia Power has</w:t>
      </w:r>
      <w:r>
        <w:t xml:space="preserve"> implemented several cost-saving initiatives, including the restructuring of certain organizations</w:t>
      </w:r>
      <w:r w:rsidR="00D3771F">
        <w:t xml:space="preserve">, </w:t>
      </w:r>
      <w:r>
        <w:t xml:space="preserve">to reduce expenses and </w:t>
      </w:r>
      <w:r w:rsidR="009E5E52">
        <w:t>operate</w:t>
      </w:r>
      <w:r>
        <w:t xml:space="preserve"> m</w:t>
      </w:r>
      <w:r w:rsidR="0062740A">
        <w:t>ore</w:t>
      </w:r>
      <w:r>
        <w:t xml:space="preserve"> efficient</w:t>
      </w:r>
      <w:r w:rsidR="0062740A">
        <w:t>ly</w:t>
      </w:r>
      <w:r>
        <w:t xml:space="preserve"> and effective</w:t>
      </w:r>
      <w:r w:rsidR="0062740A">
        <w:t>ly</w:t>
      </w:r>
      <w:r>
        <w:t xml:space="preserve"> for the benefit of our customers. </w:t>
      </w:r>
      <w:bookmarkStart w:id="7" w:name="_Hlk12286485"/>
      <w:r w:rsidR="00B24946" w:rsidRPr="00613CD7">
        <w:t>Despite inflation and increased labor and healthcare costs over the last six year</w:t>
      </w:r>
      <w:r w:rsidR="00A667C2" w:rsidRPr="00613CD7">
        <w:t>s</w:t>
      </w:r>
      <w:r w:rsidR="00B24946" w:rsidRPr="00613CD7">
        <w:t xml:space="preserve">, the </w:t>
      </w:r>
      <w:r w:rsidR="009E5E52" w:rsidRPr="00613CD7">
        <w:t>Company has</w:t>
      </w:r>
      <w:r w:rsidRPr="00613CD7">
        <w:t xml:space="preserve"> worked hard to hold O&amp;M</w:t>
      </w:r>
      <w:r w:rsidR="009E5E52" w:rsidRPr="00613CD7">
        <w:t xml:space="preserve"> </w:t>
      </w:r>
      <w:r w:rsidRPr="00613CD7">
        <w:t>costs relatively flat</w:t>
      </w:r>
      <w:r w:rsidR="00B24946" w:rsidRPr="00613CD7">
        <w:t xml:space="preserve">, </w:t>
      </w:r>
      <w:r w:rsidRPr="00613CD7">
        <w:t xml:space="preserve">budgeting </w:t>
      </w:r>
      <w:r w:rsidR="00D47842">
        <w:t xml:space="preserve">approximately </w:t>
      </w:r>
      <w:r w:rsidRPr="00613CD7">
        <w:t>$1.</w:t>
      </w:r>
      <w:r w:rsidR="00D47842">
        <w:t xml:space="preserve">7 </w:t>
      </w:r>
      <w:r w:rsidRPr="00613CD7">
        <w:t>billion in 20</w:t>
      </w:r>
      <w:r w:rsidR="000D6ADB" w:rsidRPr="00613CD7">
        <w:t>20</w:t>
      </w:r>
      <w:r w:rsidRPr="00613CD7">
        <w:t xml:space="preserve"> compared to the </w:t>
      </w:r>
      <w:r w:rsidR="00D47842">
        <w:t xml:space="preserve">approximately </w:t>
      </w:r>
      <w:r w:rsidRPr="00613CD7">
        <w:t>$</w:t>
      </w:r>
      <w:r w:rsidR="00134532" w:rsidRPr="00613CD7">
        <w:t>2.0</w:t>
      </w:r>
      <w:r w:rsidR="000D6ADB" w:rsidRPr="00613CD7">
        <w:t xml:space="preserve"> </w:t>
      </w:r>
      <w:r w:rsidRPr="00613CD7">
        <w:t>billion O&amp;M</w:t>
      </w:r>
      <w:r w:rsidR="00A667C2" w:rsidRPr="00613CD7">
        <w:t xml:space="preserve"> budget approved in the 2013 rate case</w:t>
      </w:r>
      <w:r w:rsidRPr="00613CD7">
        <w:t>.</w:t>
      </w:r>
      <w:r w:rsidR="00D3771F" w:rsidRPr="000D6ADB">
        <w:t xml:space="preserve"> </w:t>
      </w:r>
      <w:bookmarkEnd w:id="7"/>
      <w:r w:rsidR="002C52B7" w:rsidRPr="000D6ADB">
        <w:t xml:space="preserve">Additionally, the </w:t>
      </w:r>
      <w:r w:rsidR="00A667C2" w:rsidRPr="000D6ADB">
        <w:t>C</w:t>
      </w:r>
      <w:r w:rsidR="002C52B7" w:rsidRPr="000D6ADB">
        <w:t xml:space="preserve">ompany has </w:t>
      </w:r>
      <w:r w:rsidR="00C76688" w:rsidRPr="000D6ADB">
        <w:t xml:space="preserve">reduced staffing levels by </w:t>
      </w:r>
      <w:r w:rsidR="00005361" w:rsidRPr="000D6ADB">
        <w:t>1</w:t>
      </w:r>
      <w:r w:rsidR="0070677C" w:rsidRPr="000D6ADB">
        <w:t>,</w:t>
      </w:r>
      <w:r w:rsidR="000D6ADB" w:rsidRPr="000D6ADB">
        <w:t>0</w:t>
      </w:r>
      <w:r w:rsidR="00005361" w:rsidRPr="000D6ADB">
        <w:t xml:space="preserve">00 </w:t>
      </w:r>
      <w:r w:rsidR="00C76688" w:rsidRPr="000D6ADB">
        <w:t>since 2013</w:t>
      </w:r>
      <w:r w:rsidR="00A3203E" w:rsidRPr="000D6ADB">
        <w:t xml:space="preserve"> and currently</w:t>
      </w:r>
      <w:r w:rsidR="00A3203E" w:rsidRPr="00B24946">
        <w:t xml:space="preserve"> has fewer employees performing more work than </w:t>
      </w:r>
      <w:r w:rsidR="00976A75" w:rsidRPr="00B24946">
        <w:t>ever before</w:t>
      </w:r>
      <w:r w:rsidR="00A3203E" w:rsidRPr="00B24946">
        <w:t xml:space="preserve">. </w:t>
      </w:r>
    </w:p>
    <w:p w14:paraId="48D815A1" w14:textId="77777777" w:rsidR="00AE0BF3" w:rsidRDefault="00AE0BF3" w:rsidP="00827744">
      <w:pPr>
        <w:spacing w:line="360" w:lineRule="auto"/>
        <w:ind w:left="720"/>
        <w:jc w:val="both"/>
      </w:pPr>
    </w:p>
    <w:p w14:paraId="1441135C" w14:textId="466FC4A7" w:rsidR="0060577C" w:rsidRDefault="009E5E52" w:rsidP="00827744">
      <w:pPr>
        <w:spacing w:line="360" w:lineRule="auto"/>
        <w:ind w:left="720"/>
        <w:jc w:val="both"/>
      </w:pPr>
      <w:r>
        <w:t>The Company</w:t>
      </w:r>
      <w:r w:rsidRPr="00D6304E">
        <w:t xml:space="preserve"> </w:t>
      </w:r>
      <w:r w:rsidR="0060577C">
        <w:t>closed all</w:t>
      </w:r>
      <w:r w:rsidR="0060577C" w:rsidRPr="00D6304E">
        <w:t xml:space="preserve"> 131 business offices across the state</w:t>
      </w:r>
      <w:r w:rsidR="0060577C">
        <w:t xml:space="preserve"> to better align with customer preferences. Over the past decade,</w:t>
      </w:r>
      <w:r w:rsidR="0060577C" w:rsidRPr="00D6304E">
        <w:t xml:space="preserve"> payment transactions </w:t>
      </w:r>
      <w:r w:rsidR="0060577C">
        <w:t>have shifted</w:t>
      </w:r>
      <w:r w:rsidR="0060577C" w:rsidRPr="00D6304E">
        <w:t xml:space="preserve"> from traditional business offices and mail to electronic payments (online, mobile and auto-draft) and </w:t>
      </w:r>
      <w:r w:rsidR="0070677C">
        <w:t xml:space="preserve">APLs. </w:t>
      </w:r>
      <w:r w:rsidR="0060577C">
        <w:t>Electronic payments and payments at APLs</w:t>
      </w:r>
      <w:r w:rsidR="0060577C" w:rsidRPr="00D6304E">
        <w:t xml:space="preserve"> now account for </w:t>
      </w:r>
      <w:r w:rsidR="0060577C">
        <w:t>nearly 8</w:t>
      </w:r>
      <w:r w:rsidR="0060577C" w:rsidRPr="00D6304E">
        <w:t>0</w:t>
      </w:r>
      <w:r>
        <w:t>%</w:t>
      </w:r>
      <w:r w:rsidR="002D17D4">
        <w:t xml:space="preserve"> </w:t>
      </w:r>
      <w:r w:rsidR="0060577C" w:rsidRPr="00D6304E">
        <w:t>of all payments.</w:t>
      </w:r>
      <w:r w:rsidR="0060577C">
        <w:t xml:space="preserve"> </w:t>
      </w:r>
      <w:r w:rsidR="002D17D4">
        <w:t>The</w:t>
      </w:r>
      <w:r w:rsidR="00831AC1">
        <w:t>re are</w:t>
      </w:r>
      <w:r w:rsidR="002D17D4">
        <w:t xml:space="preserve"> </w:t>
      </w:r>
      <w:r w:rsidR="00831AC1">
        <w:t xml:space="preserve">now </w:t>
      </w:r>
      <w:r w:rsidR="002D17D4">
        <w:t xml:space="preserve">4,000 </w:t>
      </w:r>
      <w:r w:rsidR="00831AC1">
        <w:t xml:space="preserve">APLs which give our </w:t>
      </w:r>
      <w:r w:rsidR="002D17D4">
        <w:t xml:space="preserve">customers </w:t>
      </w:r>
      <w:r w:rsidR="0070677C">
        <w:t xml:space="preserve">more </w:t>
      </w:r>
      <w:r w:rsidR="002D17D4">
        <w:t xml:space="preserve">convenience </w:t>
      </w:r>
      <w:r w:rsidR="0070677C">
        <w:t>in</w:t>
      </w:r>
      <w:r w:rsidR="002D17D4">
        <w:t xml:space="preserve"> </w:t>
      </w:r>
      <w:r w:rsidR="0070677C">
        <w:t xml:space="preserve">choosing </w:t>
      </w:r>
      <w:r w:rsidR="002D17D4">
        <w:t xml:space="preserve">where and when to do business with us. </w:t>
      </w:r>
    </w:p>
    <w:p w14:paraId="1F906E9D" w14:textId="77777777" w:rsidR="0060577C" w:rsidRDefault="0060577C" w:rsidP="0060577C">
      <w:pPr>
        <w:spacing w:line="360" w:lineRule="auto"/>
        <w:jc w:val="both"/>
        <w:rPr>
          <w:highlight w:val="yellow"/>
        </w:rPr>
      </w:pPr>
    </w:p>
    <w:p w14:paraId="02F04DBD" w14:textId="1829F565" w:rsidR="0060577C" w:rsidRPr="00E21AC5" w:rsidRDefault="00831AC1" w:rsidP="0060577C">
      <w:pPr>
        <w:spacing w:line="360" w:lineRule="auto"/>
        <w:ind w:left="720"/>
        <w:jc w:val="both"/>
      </w:pPr>
      <w:r>
        <w:lastRenderedPageBreak/>
        <w:t>At our Customer Care Center, w</w:t>
      </w:r>
      <w:r w:rsidR="0060577C" w:rsidRPr="00E21AC5">
        <w:t>e implemented new residential customer service hours, 7 a.m. to 9 p.m</w:t>
      </w:r>
      <w:r w:rsidR="006C52CF">
        <w:t xml:space="preserve">., </w:t>
      </w:r>
      <w:r w:rsidR="0060577C" w:rsidRPr="00E21AC5">
        <w:t xml:space="preserve">Monday through Friday, aligning business hours with the industry standard and allowing </w:t>
      </w:r>
      <w:r w:rsidR="009E5E52" w:rsidRPr="00E21AC5">
        <w:t xml:space="preserve">the Company </w:t>
      </w:r>
      <w:r w:rsidR="0060577C" w:rsidRPr="00E21AC5">
        <w:t>to more efficiently manage resources. This change has further facilitated customer migration to self-serve channels and reduced wait time/agent calls.</w:t>
      </w:r>
    </w:p>
    <w:p w14:paraId="57E2F0D3" w14:textId="77777777" w:rsidR="0060577C" w:rsidRPr="00E21AC5" w:rsidRDefault="0060577C" w:rsidP="0060577C">
      <w:pPr>
        <w:spacing w:line="360" w:lineRule="auto"/>
        <w:jc w:val="both"/>
      </w:pPr>
    </w:p>
    <w:p w14:paraId="494BFFC9" w14:textId="40379BB4" w:rsidR="0060577C" w:rsidRPr="005F0D09" w:rsidRDefault="0060577C" w:rsidP="006222D5">
      <w:pPr>
        <w:spacing w:line="360" w:lineRule="auto"/>
        <w:ind w:left="720"/>
        <w:jc w:val="both"/>
      </w:pPr>
      <w:r w:rsidRPr="00DE6A52">
        <w:t xml:space="preserve">Georgia Power and Commission Staff also worked constructively together to pass on benefits from the Tax </w:t>
      </w:r>
      <w:r w:rsidR="006C52CF">
        <w:t xml:space="preserve">Reform </w:t>
      </w:r>
      <w:r w:rsidRPr="00DE6A52">
        <w:t>Act – approximately $1.</w:t>
      </w:r>
      <w:r w:rsidR="00827744">
        <w:t>1</w:t>
      </w:r>
      <w:r w:rsidRPr="00DE6A52">
        <w:t xml:space="preserve"> billion</w:t>
      </w:r>
      <w:r w:rsidRPr="00E21AC5">
        <w:t xml:space="preserve"> – to customers, while preserving </w:t>
      </w:r>
      <w:r w:rsidR="009E5E52" w:rsidRPr="00E21AC5">
        <w:t xml:space="preserve">the Company’s </w:t>
      </w:r>
      <w:r w:rsidRPr="00E21AC5">
        <w:t>credit quality. The new tax law benefits were confirmed as part of an agreement with Commission Staff and helped offset costs previously passed on to the customer</w:t>
      </w:r>
      <w:r w:rsidRPr="00F43AB8">
        <w:t xml:space="preserve">. In total, refunds to customers will </w:t>
      </w:r>
      <w:r w:rsidR="00DE6A52" w:rsidRPr="00F43AB8">
        <w:t>be</w:t>
      </w:r>
      <w:r w:rsidRPr="00F43AB8">
        <w:t xml:space="preserve"> $330 million for 2018 and 2019. The first refund of $131 million was issued in October 2018, with the subsequent refunds </w:t>
      </w:r>
      <w:r w:rsidR="0070677C" w:rsidRPr="00F43AB8">
        <w:t>in</w:t>
      </w:r>
      <w:r w:rsidRPr="00F43AB8">
        <w:t xml:space="preserve"> June 2019 and February 2020</w:t>
      </w:r>
      <w:r w:rsidR="003F7498" w:rsidRPr="00F43AB8">
        <w:t>. The</w:t>
      </w:r>
      <w:r w:rsidRPr="00F43AB8">
        <w:t xml:space="preserve"> Company and </w:t>
      </w:r>
      <w:r w:rsidR="009E5E52" w:rsidRPr="00F43AB8">
        <w:t xml:space="preserve">Commission </w:t>
      </w:r>
      <w:r w:rsidRPr="00F43AB8">
        <w:t xml:space="preserve">Staff also identified another </w:t>
      </w:r>
      <w:r w:rsidR="00957990" w:rsidRPr="00F43AB8">
        <w:t>nearly</w:t>
      </w:r>
      <w:r w:rsidRPr="00F43AB8">
        <w:t xml:space="preserve"> $</w:t>
      </w:r>
      <w:r w:rsidR="00F43AB8" w:rsidRPr="00F43AB8">
        <w:t>670</w:t>
      </w:r>
      <w:r w:rsidRPr="00F43AB8">
        <w:t xml:space="preserve"> million in benefits that will be addressed in this base rate case.</w:t>
      </w:r>
      <w:r w:rsidR="00F43AB8">
        <w:t xml:space="preserve"> </w:t>
      </w:r>
      <w:r w:rsidR="000D6ADB">
        <w:t>Further</w:t>
      </w:r>
      <w:r w:rsidR="00F43AB8">
        <w:t>, with the inclusion of lower federal and state tax rates into the Company’s cost of service, customers will save an additional $1</w:t>
      </w:r>
      <w:r w:rsidR="00827744">
        <w:t>.4</w:t>
      </w:r>
      <w:r w:rsidR="00F43AB8">
        <w:t xml:space="preserve"> billion over </w:t>
      </w:r>
      <w:r w:rsidR="00546504">
        <w:t xml:space="preserve">the </w:t>
      </w:r>
      <w:r w:rsidR="00F43AB8">
        <w:t xml:space="preserve">three-year </w:t>
      </w:r>
      <w:r w:rsidR="006726C0">
        <w:t>ARP</w:t>
      </w:r>
      <w:r w:rsidR="00546504">
        <w:t>.</w:t>
      </w:r>
    </w:p>
    <w:p w14:paraId="03A096FE" w14:textId="77777777" w:rsidR="0060577C" w:rsidRDefault="0060577C" w:rsidP="0060577C">
      <w:pPr>
        <w:spacing w:line="360" w:lineRule="auto"/>
        <w:ind w:left="720" w:hanging="720"/>
        <w:jc w:val="both"/>
        <w:rPr>
          <w:b/>
        </w:rPr>
      </w:pPr>
      <w:r>
        <w:rPr>
          <w:b/>
        </w:rPr>
        <w:t>Q.</w:t>
      </w:r>
      <w:r>
        <w:rPr>
          <w:b/>
        </w:rPr>
        <w:tab/>
        <w:t xml:space="preserve">WHAT ARE SOME THINGS THE COMPANY HAS SPECIFICALLY DONE TO ENHANCE THE ECONOMY IN GEORGIA? </w:t>
      </w:r>
    </w:p>
    <w:p w14:paraId="42CD4100" w14:textId="4C51C540" w:rsidR="0060577C" w:rsidRDefault="0060577C" w:rsidP="0060577C">
      <w:pPr>
        <w:spacing w:line="360" w:lineRule="auto"/>
        <w:ind w:left="720" w:hanging="720"/>
        <w:jc w:val="both"/>
        <w:rPr>
          <w:color w:val="000000" w:themeColor="text1"/>
        </w:rPr>
      </w:pPr>
      <w:r>
        <w:t>A.</w:t>
      </w:r>
      <w:r>
        <w:tab/>
        <w:t xml:space="preserve">Since 2013, </w:t>
      </w:r>
      <w:r w:rsidR="00E62443">
        <w:t xml:space="preserve">Georgia Power has </w:t>
      </w:r>
      <w:r>
        <w:t xml:space="preserve">helped bring or retain more than </w:t>
      </w:r>
      <w:r w:rsidRPr="005E4354">
        <w:t>100,000</w:t>
      </w:r>
      <w:r>
        <w:t xml:space="preserve"> jobs to the state and supported the addition of </w:t>
      </w:r>
      <w:r w:rsidRPr="005F5E2B">
        <w:t>nearly $22 billion</w:t>
      </w:r>
      <w:r>
        <w:t xml:space="preserve"> in capital investment. </w:t>
      </w:r>
      <w:r w:rsidRPr="00E15DA9">
        <w:t xml:space="preserve">In the last five years alone, </w:t>
      </w:r>
      <w:r w:rsidR="00E62443">
        <w:t>the Company has</w:t>
      </w:r>
      <w:r>
        <w:t xml:space="preserve"> </w:t>
      </w:r>
      <w:r w:rsidRPr="00E15DA9">
        <w:t xml:space="preserve">assisted more than </w:t>
      </w:r>
      <w:r w:rsidR="00BB0816">
        <w:t>600</w:t>
      </w:r>
      <w:r w:rsidRPr="00E15DA9">
        <w:t xml:space="preserve"> companies</w:t>
      </w:r>
      <w:r>
        <w:t xml:space="preserve">. We have a team dedicated to not only facilitating a company’s expansion in Georgia or their move to the state but also assisting local communities with the expansion, retention and recruitment of jobs and investment. </w:t>
      </w:r>
      <w:r w:rsidR="00DE6A52">
        <w:t xml:space="preserve">Of course, </w:t>
      </w:r>
      <w:r w:rsidR="006C52CF">
        <w:t>some</w:t>
      </w:r>
      <w:r w:rsidR="00DE6A52">
        <w:t xml:space="preserve"> of the primary drivers for businesses to relocate and stay in Georgia are th</w:t>
      </w:r>
      <w:r w:rsidR="006C52CF">
        <w:t>e</w:t>
      </w:r>
      <w:r w:rsidR="00DE6A52">
        <w:t xml:space="preserve"> </w:t>
      </w:r>
      <w:r w:rsidR="00A667C2">
        <w:t>s</w:t>
      </w:r>
      <w:r w:rsidR="00DE6A52">
        <w:t xml:space="preserve">tate’s business-friendly policies, including this Commission’s </w:t>
      </w:r>
      <w:r w:rsidR="00DE6A52">
        <w:lastRenderedPageBreak/>
        <w:t>constructive regulatory policies</w:t>
      </w:r>
      <w:r w:rsidR="00A667C2">
        <w:t>,</w:t>
      </w:r>
      <w:r w:rsidR="00DE6A52">
        <w:t xml:space="preserve"> which have allowed Georgia Power to </w:t>
      </w:r>
      <w:r w:rsidR="00A667C2">
        <w:t xml:space="preserve">provide </w:t>
      </w:r>
      <w:r w:rsidR="00DE6A52">
        <w:t xml:space="preserve">clean, safe, reliable and affordable energy to those businesses. In addition, </w:t>
      </w:r>
      <w:r w:rsidR="00E62443">
        <w:t>Georgia Power</w:t>
      </w:r>
      <w:r w:rsidR="00E62443" w:rsidRPr="00904082">
        <w:t xml:space="preserve"> </w:t>
      </w:r>
      <w:r>
        <w:t>work</w:t>
      </w:r>
      <w:r w:rsidR="00E62443">
        <w:t>s</w:t>
      </w:r>
      <w:r w:rsidRPr="00904082">
        <w:t xml:space="preserve"> with state and local leadership to stimulate high</w:t>
      </w:r>
      <w:r w:rsidR="00A667C2">
        <w:t>-</w:t>
      </w:r>
      <w:r w:rsidRPr="00904082">
        <w:t>quality economic growth in Georgia</w:t>
      </w:r>
      <w:r w:rsidR="00E62443">
        <w:t>’</w:t>
      </w:r>
      <w:r w:rsidRPr="00904082">
        <w:t>s communities</w:t>
      </w:r>
      <w:r>
        <w:t xml:space="preserve"> and drive</w:t>
      </w:r>
      <w:r w:rsidRPr="00D42A93">
        <w:rPr>
          <w:color w:val="000000" w:themeColor="text1"/>
        </w:rPr>
        <w:t xml:space="preserve"> </w:t>
      </w:r>
      <w:r w:rsidR="009664DC">
        <w:rPr>
          <w:color w:val="000000" w:themeColor="text1"/>
        </w:rPr>
        <w:t xml:space="preserve">positive </w:t>
      </w:r>
      <w:r w:rsidRPr="00D42A93">
        <w:rPr>
          <w:color w:val="000000" w:themeColor="text1"/>
        </w:rPr>
        <w:t>change for the state through</w:t>
      </w:r>
      <w:r>
        <w:rPr>
          <w:color w:val="000000" w:themeColor="text1"/>
        </w:rPr>
        <w:t>:</w:t>
      </w:r>
      <w:r w:rsidRPr="00D42A93">
        <w:rPr>
          <w:color w:val="000000" w:themeColor="text1"/>
        </w:rPr>
        <w:t xml:space="preserve"> </w:t>
      </w:r>
    </w:p>
    <w:p w14:paraId="574375B7" w14:textId="203D8865" w:rsidR="0060577C" w:rsidRPr="00D42A93" w:rsidRDefault="00E62443" w:rsidP="0070677C">
      <w:pPr>
        <w:pStyle w:val="ListParagraph"/>
        <w:numPr>
          <w:ilvl w:val="0"/>
          <w:numId w:val="10"/>
        </w:numPr>
        <w:spacing w:after="160" w:line="360" w:lineRule="auto"/>
        <w:ind w:left="1440"/>
        <w:jc w:val="both"/>
        <w:rPr>
          <w:color w:val="000000" w:themeColor="text1"/>
        </w:rPr>
      </w:pPr>
      <w:r>
        <w:rPr>
          <w:rFonts w:eastAsia="Times New Roman" w:cstheme="minorHAnsi"/>
          <w:color w:val="000000" w:themeColor="text1"/>
        </w:rPr>
        <w:t>Expanding b</w:t>
      </w:r>
      <w:r w:rsidR="0060577C" w:rsidRPr="00D42A93">
        <w:rPr>
          <w:rFonts w:eastAsia="Times New Roman" w:cstheme="minorHAnsi"/>
          <w:color w:val="000000" w:themeColor="text1"/>
        </w:rPr>
        <w:t>usiness retention efforts focused on the prevention of loss of community wealth</w:t>
      </w:r>
      <w:r>
        <w:rPr>
          <w:rFonts w:eastAsia="Times New Roman" w:cstheme="minorHAnsi"/>
          <w:color w:val="000000" w:themeColor="text1"/>
        </w:rPr>
        <w:t>;</w:t>
      </w:r>
    </w:p>
    <w:p w14:paraId="5207C9B7" w14:textId="6E8DDDE6" w:rsidR="0060577C" w:rsidRPr="00D42A93" w:rsidRDefault="0060577C" w:rsidP="0070677C">
      <w:pPr>
        <w:pStyle w:val="ListParagraph"/>
        <w:numPr>
          <w:ilvl w:val="0"/>
          <w:numId w:val="10"/>
        </w:numPr>
        <w:spacing w:after="160" w:line="360" w:lineRule="auto"/>
        <w:ind w:left="1440"/>
        <w:jc w:val="both"/>
        <w:rPr>
          <w:color w:val="000000" w:themeColor="text1"/>
        </w:rPr>
      </w:pPr>
      <w:r>
        <w:rPr>
          <w:rFonts w:eastAsia="Times New Roman" w:cstheme="minorHAnsi"/>
          <w:color w:val="000000" w:themeColor="text1"/>
        </w:rPr>
        <w:t>Helping</w:t>
      </w:r>
      <w:r w:rsidRPr="00D42A93">
        <w:rPr>
          <w:rFonts w:eastAsia="Times New Roman" w:cstheme="minorHAnsi"/>
          <w:color w:val="000000" w:themeColor="text1"/>
        </w:rPr>
        <w:t xml:space="preserve"> address critical challenges</w:t>
      </w:r>
      <w:r w:rsidR="006C52CF">
        <w:rPr>
          <w:rFonts w:eastAsia="Times New Roman" w:cstheme="minorHAnsi"/>
          <w:color w:val="000000" w:themeColor="text1"/>
        </w:rPr>
        <w:t>,</w:t>
      </w:r>
      <w:r>
        <w:rPr>
          <w:rFonts w:eastAsia="Times New Roman" w:cstheme="minorHAnsi"/>
          <w:color w:val="000000" w:themeColor="text1"/>
        </w:rPr>
        <w:t xml:space="preserve"> such as </w:t>
      </w:r>
      <w:r w:rsidRPr="00D42A93">
        <w:rPr>
          <w:rFonts w:eastAsia="Times New Roman" w:cstheme="minorHAnsi"/>
          <w:color w:val="000000" w:themeColor="text1"/>
        </w:rPr>
        <w:t xml:space="preserve">affordable housing, workforce development </w:t>
      </w:r>
      <w:r>
        <w:rPr>
          <w:rFonts w:eastAsia="Times New Roman" w:cstheme="minorHAnsi"/>
          <w:color w:val="000000" w:themeColor="text1"/>
        </w:rPr>
        <w:t xml:space="preserve">and </w:t>
      </w:r>
      <w:r w:rsidRPr="00D42A93">
        <w:rPr>
          <w:rFonts w:eastAsia="Times New Roman" w:cstheme="minorHAnsi"/>
          <w:color w:val="000000" w:themeColor="text1"/>
        </w:rPr>
        <w:t>education</w:t>
      </w:r>
      <w:r w:rsidR="00E62443">
        <w:rPr>
          <w:rFonts w:eastAsia="Times New Roman" w:cstheme="minorHAnsi"/>
          <w:color w:val="000000" w:themeColor="text1"/>
        </w:rPr>
        <w:t>;</w:t>
      </w:r>
      <w:r>
        <w:rPr>
          <w:rFonts w:eastAsia="Times New Roman" w:cstheme="minorHAnsi"/>
          <w:color w:val="000000" w:themeColor="text1"/>
        </w:rPr>
        <w:t xml:space="preserve"> </w:t>
      </w:r>
    </w:p>
    <w:p w14:paraId="0FD26253" w14:textId="4CD0FC1A" w:rsidR="0060577C" w:rsidRPr="0028449F" w:rsidRDefault="0060577C" w:rsidP="0070677C">
      <w:pPr>
        <w:pStyle w:val="ListParagraph"/>
        <w:numPr>
          <w:ilvl w:val="0"/>
          <w:numId w:val="10"/>
        </w:numPr>
        <w:spacing w:after="160" w:line="360" w:lineRule="auto"/>
        <w:ind w:left="1440"/>
        <w:jc w:val="both"/>
        <w:rPr>
          <w:color w:val="000000" w:themeColor="text1"/>
        </w:rPr>
      </w:pPr>
      <w:r w:rsidRPr="00D42A93">
        <w:rPr>
          <w:rFonts w:eastAsia="Times New Roman" w:cstheme="minorHAnsi"/>
          <w:color w:val="000000" w:themeColor="text1"/>
        </w:rPr>
        <w:t>Building coalitions with diverse influential leaders and diverse customer communities</w:t>
      </w:r>
      <w:r w:rsidR="00E62443">
        <w:rPr>
          <w:rFonts w:eastAsia="Times New Roman" w:cstheme="minorHAnsi"/>
          <w:color w:val="000000" w:themeColor="text1"/>
        </w:rPr>
        <w:t>;</w:t>
      </w:r>
    </w:p>
    <w:p w14:paraId="1512D2C3" w14:textId="55CA6E86" w:rsidR="0060577C" w:rsidRPr="0028449F" w:rsidRDefault="0060577C" w:rsidP="0070677C">
      <w:pPr>
        <w:pStyle w:val="ListParagraph"/>
        <w:numPr>
          <w:ilvl w:val="0"/>
          <w:numId w:val="10"/>
        </w:numPr>
        <w:spacing w:after="160" w:line="360" w:lineRule="auto"/>
        <w:ind w:left="1440"/>
        <w:jc w:val="both"/>
        <w:rPr>
          <w:color w:val="000000" w:themeColor="text1"/>
        </w:rPr>
      </w:pPr>
      <w:r>
        <w:rPr>
          <w:rFonts w:eastAsia="Times New Roman" w:cstheme="minorHAnsi"/>
          <w:color w:val="000000" w:themeColor="text1"/>
        </w:rPr>
        <w:t>Leveraging</w:t>
      </w:r>
      <w:r w:rsidRPr="0028449F">
        <w:rPr>
          <w:rFonts w:eastAsia="Times New Roman" w:cstheme="minorHAnsi"/>
          <w:color w:val="000000" w:themeColor="text1"/>
        </w:rPr>
        <w:t xml:space="preserve"> leadership alliances</w:t>
      </w:r>
      <w:r>
        <w:rPr>
          <w:rFonts w:eastAsia="Times New Roman" w:cstheme="minorHAnsi"/>
          <w:color w:val="000000" w:themeColor="text1"/>
        </w:rPr>
        <w:t xml:space="preserve"> that s</w:t>
      </w:r>
      <w:r w:rsidRPr="0028449F">
        <w:rPr>
          <w:rFonts w:eastAsia="Times New Roman" w:cstheme="minorHAnsi"/>
          <w:color w:val="000000" w:themeColor="text1"/>
        </w:rPr>
        <w:t xml:space="preserve">upport diverse, underserved and underrepresented customer communities (African American, </w:t>
      </w:r>
      <w:r w:rsidR="00155B3B">
        <w:rPr>
          <w:rFonts w:eastAsia="Times New Roman" w:cstheme="minorHAnsi"/>
          <w:color w:val="000000" w:themeColor="text1"/>
        </w:rPr>
        <w:t xml:space="preserve">Asian, Hispanic, </w:t>
      </w:r>
      <w:r>
        <w:rPr>
          <w:rFonts w:eastAsia="Times New Roman" w:cstheme="minorHAnsi"/>
          <w:color w:val="000000" w:themeColor="text1"/>
        </w:rPr>
        <w:t>s</w:t>
      </w:r>
      <w:r w:rsidRPr="0028449F">
        <w:rPr>
          <w:rFonts w:eastAsia="Times New Roman" w:cstheme="minorHAnsi"/>
          <w:color w:val="000000" w:themeColor="text1"/>
        </w:rPr>
        <w:t>enior</w:t>
      </w:r>
      <w:r>
        <w:rPr>
          <w:rFonts w:eastAsia="Times New Roman" w:cstheme="minorHAnsi"/>
          <w:color w:val="000000" w:themeColor="text1"/>
        </w:rPr>
        <w:t>s</w:t>
      </w:r>
      <w:r w:rsidRPr="0028449F">
        <w:rPr>
          <w:rFonts w:eastAsia="Times New Roman" w:cstheme="minorHAnsi"/>
          <w:color w:val="000000" w:themeColor="text1"/>
        </w:rPr>
        <w:t xml:space="preserve">, </w:t>
      </w:r>
      <w:r>
        <w:rPr>
          <w:rFonts w:eastAsia="Times New Roman" w:cstheme="minorHAnsi"/>
          <w:color w:val="000000" w:themeColor="text1"/>
        </w:rPr>
        <w:t>w</w:t>
      </w:r>
      <w:r w:rsidRPr="0028449F">
        <w:rPr>
          <w:rFonts w:eastAsia="Times New Roman" w:cstheme="minorHAnsi"/>
          <w:color w:val="000000" w:themeColor="text1"/>
        </w:rPr>
        <w:t>omen, LGBTQ, etc.)</w:t>
      </w:r>
      <w:r w:rsidR="00E62443">
        <w:rPr>
          <w:rFonts w:eastAsia="Times New Roman" w:cstheme="minorHAnsi"/>
          <w:color w:val="000000" w:themeColor="text1"/>
        </w:rPr>
        <w:t>;</w:t>
      </w:r>
    </w:p>
    <w:p w14:paraId="0E2C36B2" w14:textId="0AD6FF20" w:rsidR="0060577C" w:rsidRPr="0028449F" w:rsidRDefault="0060577C" w:rsidP="0070677C">
      <w:pPr>
        <w:pStyle w:val="ListParagraph"/>
        <w:numPr>
          <w:ilvl w:val="0"/>
          <w:numId w:val="10"/>
        </w:numPr>
        <w:spacing w:after="160" w:line="360" w:lineRule="auto"/>
        <w:ind w:left="1440"/>
        <w:jc w:val="both"/>
        <w:rPr>
          <w:color w:val="000000" w:themeColor="text1"/>
        </w:rPr>
      </w:pPr>
      <w:r w:rsidRPr="0028449F">
        <w:rPr>
          <w:rFonts w:eastAsia="Times New Roman" w:cstheme="minorHAnsi"/>
          <w:color w:val="000000" w:themeColor="text1"/>
        </w:rPr>
        <w:t>Educating and training community leadership</w:t>
      </w:r>
      <w:r w:rsidR="00E62443">
        <w:rPr>
          <w:rFonts w:eastAsia="Times New Roman" w:cstheme="minorHAnsi"/>
          <w:color w:val="000000" w:themeColor="text1"/>
        </w:rPr>
        <w:t>;</w:t>
      </w:r>
    </w:p>
    <w:p w14:paraId="513AF273" w14:textId="0E963B5E" w:rsidR="0060577C" w:rsidRPr="0028449F" w:rsidRDefault="0060577C" w:rsidP="0070677C">
      <w:pPr>
        <w:pStyle w:val="ListParagraph"/>
        <w:numPr>
          <w:ilvl w:val="0"/>
          <w:numId w:val="10"/>
        </w:numPr>
        <w:spacing w:after="160" w:line="360" w:lineRule="auto"/>
        <w:ind w:left="1440"/>
        <w:jc w:val="both"/>
        <w:rPr>
          <w:color w:val="000000" w:themeColor="text1"/>
        </w:rPr>
      </w:pPr>
      <w:r>
        <w:rPr>
          <w:rFonts w:eastAsia="Times New Roman" w:cstheme="minorHAnsi"/>
          <w:color w:val="000000" w:themeColor="text1"/>
        </w:rPr>
        <w:t>P</w:t>
      </w:r>
      <w:r w:rsidRPr="0028449F">
        <w:rPr>
          <w:rFonts w:eastAsia="Times New Roman" w:cstheme="minorHAnsi"/>
          <w:color w:val="000000" w:themeColor="text1"/>
        </w:rPr>
        <w:t>rovid</w:t>
      </w:r>
      <w:r>
        <w:rPr>
          <w:rFonts w:eastAsia="Times New Roman" w:cstheme="minorHAnsi"/>
          <w:color w:val="000000" w:themeColor="text1"/>
        </w:rPr>
        <w:t>ing</w:t>
      </w:r>
      <w:r w:rsidRPr="0028449F">
        <w:rPr>
          <w:rFonts w:eastAsia="Times New Roman" w:cstheme="minorHAnsi"/>
          <w:color w:val="000000" w:themeColor="text1"/>
        </w:rPr>
        <w:t xml:space="preserve"> subject-matter expertise on public policy boards</w:t>
      </w:r>
      <w:r w:rsidR="006C52CF">
        <w:rPr>
          <w:rFonts w:eastAsia="Times New Roman" w:cstheme="minorHAnsi"/>
          <w:color w:val="000000" w:themeColor="text1"/>
        </w:rPr>
        <w:t>,</w:t>
      </w:r>
      <w:r w:rsidRPr="0028449F">
        <w:rPr>
          <w:rFonts w:eastAsia="Times New Roman" w:cstheme="minorHAnsi"/>
          <w:color w:val="000000" w:themeColor="text1"/>
        </w:rPr>
        <w:t xml:space="preserve"> influencing Georgia’s competitiveness</w:t>
      </w:r>
      <w:r w:rsidR="00E62443">
        <w:rPr>
          <w:rFonts w:eastAsia="Times New Roman" w:cstheme="minorHAnsi"/>
          <w:color w:val="000000" w:themeColor="text1"/>
        </w:rPr>
        <w:t>;</w:t>
      </w:r>
    </w:p>
    <w:p w14:paraId="5D7410EC" w14:textId="065854E3" w:rsidR="0060577C" w:rsidRPr="0028449F" w:rsidRDefault="0060577C" w:rsidP="0070677C">
      <w:pPr>
        <w:pStyle w:val="ListParagraph"/>
        <w:numPr>
          <w:ilvl w:val="0"/>
          <w:numId w:val="10"/>
        </w:numPr>
        <w:spacing w:after="160" w:line="360" w:lineRule="auto"/>
        <w:ind w:left="1440"/>
        <w:jc w:val="both"/>
        <w:rPr>
          <w:color w:val="000000" w:themeColor="text1"/>
        </w:rPr>
      </w:pPr>
      <w:r w:rsidRPr="0028449F">
        <w:rPr>
          <w:rFonts w:eastAsia="Times New Roman" w:cstheme="minorHAnsi"/>
          <w:color w:val="000000" w:themeColor="text1"/>
        </w:rPr>
        <w:t xml:space="preserve">Convening local alliances to prepare for new business, </w:t>
      </w:r>
      <w:r w:rsidR="006C52CF">
        <w:rPr>
          <w:rFonts w:eastAsia="Times New Roman" w:cstheme="minorHAnsi"/>
          <w:color w:val="000000" w:themeColor="text1"/>
        </w:rPr>
        <w:t xml:space="preserve">the </w:t>
      </w:r>
      <w:r w:rsidRPr="0028449F">
        <w:rPr>
          <w:rFonts w:eastAsia="Times New Roman" w:cstheme="minorHAnsi"/>
          <w:color w:val="000000" w:themeColor="text1"/>
        </w:rPr>
        <w:t>expansion and retention of existing companies and addressing demographic and workforce challenges</w:t>
      </w:r>
      <w:r w:rsidR="00E62443">
        <w:rPr>
          <w:rFonts w:eastAsia="Times New Roman" w:cstheme="minorHAnsi"/>
          <w:color w:val="000000" w:themeColor="text1"/>
        </w:rPr>
        <w:t>; and</w:t>
      </w:r>
    </w:p>
    <w:p w14:paraId="280B72AC" w14:textId="610C869E" w:rsidR="0060577C" w:rsidRPr="00814580" w:rsidRDefault="0060577C" w:rsidP="0060577C">
      <w:pPr>
        <w:pStyle w:val="ListParagraph"/>
        <w:numPr>
          <w:ilvl w:val="0"/>
          <w:numId w:val="10"/>
        </w:numPr>
        <w:spacing w:line="360" w:lineRule="auto"/>
        <w:ind w:left="1440"/>
        <w:jc w:val="both"/>
        <w:rPr>
          <w:color w:val="000000" w:themeColor="text1"/>
        </w:rPr>
      </w:pPr>
      <w:r w:rsidRPr="0028449F">
        <w:rPr>
          <w:rFonts w:eastAsia="Times New Roman" w:cstheme="minorHAnsi"/>
          <w:color w:val="000000" w:themeColor="text1"/>
        </w:rPr>
        <w:t>Providing strategic planning and community assessments</w:t>
      </w:r>
      <w:r>
        <w:rPr>
          <w:rFonts w:eastAsia="Times New Roman" w:cstheme="minorHAnsi"/>
          <w:color w:val="000000" w:themeColor="text1"/>
        </w:rPr>
        <w:t>.</w:t>
      </w:r>
    </w:p>
    <w:p w14:paraId="50A6C25B" w14:textId="5157684D" w:rsidR="0060577C" w:rsidRPr="0028449F" w:rsidRDefault="00E62443" w:rsidP="003F17F8">
      <w:pPr>
        <w:spacing w:line="360" w:lineRule="auto"/>
        <w:ind w:left="720"/>
        <w:jc w:val="both"/>
        <w:rPr>
          <w:rFonts w:eastAsia="Times New Roman" w:cstheme="minorHAnsi"/>
          <w:color w:val="000000" w:themeColor="text1"/>
        </w:rPr>
      </w:pPr>
      <w:r>
        <w:rPr>
          <w:rFonts w:eastAsia="Times New Roman" w:cstheme="minorHAnsi"/>
          <w:color w:val="000000" w:themeColor="text1"/>
        </w:rPr>
        <w:t>Georgia Power</w:t>
      </w:r>
      <w:r w:rsidRPr="00D42A93">
        <w:rPr>
          <w:rFonts w:eastAsia="Times New Roman" w:cstheme="minorHAnsi"/>
          <w:color w:val="000000" w:themeColor="text1"/>
        </w:rPr>
        <w:t xml:space="preserve"> </w:t>
      </w:r>
      <w:r w:rsidR="0060577C" w:rsidRPr="00D42A93">
        <w:rPr>
          <w:rFonts w:eastAsia="Times New Roman" w:cstheme="minorHAnsi"/>
          <w:color w:val="000000" w:themeColor="text1"/>
        </w:rPr>
        <w:t>offer</w:t>
      </w:r>
      <w:r>
        <w:rPr>
          <w:rFonts w:eastAsia="Times New Roman" w:cstheme="minorHAnsi"/>
          <w:color w:val="000000" w:themeColor="text1"/>
        </w:rPr>
        <w:t>s</w:t>
      </w:r>
      <w:r w:rsidR="0060577C" w:rsidRPr="00D42A93">
        <w:rPr>
          <w:rFonts w:eastAsia="Times New Roman" w:cstheme="minorHAnsi"/>
          <w:color w:val="000000" w:themeColor="text1"/>
        </w:rPr>
        <w:t xml:space="preserve"> world-class resources in site selection and economic development that have played an important role in Georgia’s distinction </w:t>
      </w:r>
      <w:r>
        <w:rPr>
          <w:rFonts w:eastAsia="Times New Roman" w:cstheme="minorHAnsi"/>
          <w:color w:val="000000" w:themeColor="text1"/>
        </w:rPr>
        <w:t xml:space="preserve">as the </w:t>
      </w:r>
      <w:r w:rsidRPr="00E15DA9">
        <w:rPr>
          <w:rFonts w:eastAsia="Times New Roman" w:cstheme="minorHAnsi"/>
          <w:color w:val="000000" w:themeColor="text1"/>
        </w:rPr>
        <w:t xml:space="preserve">best state </w:t>
      </w:r>
      <w:r>
        <w:rPr>
          <w:rFonts w:eastAsia="Times New Roman" w:cstheme="minorHAnsi"/>
          <w:color w:val="000000" w:themeColor="text1"/>
        </w:rPr>
        <w:t>for</w:t>
      </w:r>
      <w:r w:rsidRPr="00E15DA9">
        <w:rPr>
          <w:rFonts w:eastAsia="Times New Roman" w:cstheme="minorHAnsi"/>
          <w:color w:val="000000" w:themeColor="text1"/>
        </w:rPr>
        <w:t xml:space="preserve"> business </w:t>
      </w:r>
      <w:r w:rsidR="0060577C">
        <w:rPr>
          <w:rFonts w:eastAsia="Times New Roman" w:cstheme="minorHAnsi"/>
          <w:color w:val="000000" w:themeColor="text1"/>
        </w:rPr>
        <w:t xml:space="preserve">for </w:t>
      </w:r>
      <w:r w:rsidR="0060577C" w:rsidRPr="00E15DA9">
        <w:rPr>
          <w:rFonts w:eastAsia="Times New Roman" w:cstheme="minorHAnsi"/>
          <w:color w:val="000000" w:themeColor="text1"/>
        </w:rPr>
        <w:t xml:space="preserve">six consecutive years by </w:t>
      </w:r>
      <w:r w:rsidR="0060577C" w:rsidRPr="00FE2B37">
        <w:rPr>
          <w:rFonts w:eastAsia="Times New Roman" w:cstheme="minorHAnsi"/>
          <w:i/>
          <w:color w:val="000000" w:themeColor="text1"/>
        </w:rPr>
        <w:t>Site Selection</w:t>
      </w:r>
      <w:r w:rsidR="0060577C" w:rsidRPr="00E15DA9">
        <w:rPr>
          <w:rFonts w:eastAsia="Times New Roman" w:cstheme="minorHAnsi"/>
          <w:color w:val="000000" w:themeColor="text1"/>
        </w:rPr>
        <w:t xml:space="preserve"> magazine and </w:t>
      </w:r>
      <w:r w:rsidR="0060577C">
        <w:rPr>
          <w:rFonts w:eastAsia="Times New Roman" w:cstheme="minorHAnsi"/>
          <w:color w:val="000000" w:themeColor="text1"/>
        </w:rPr>
        <w:t xml:space="preserve">five </w:t>
      </w:r>
      <w:r w:rsidR="0060577C" w:rsidRPr="00E15DA9">
        <w:rPr>
          <w:rFonts w:eastAsia="Times New Roman" w:cstheme="minorHAnsi"/>
          <w:color w:val="000000" w:themeColor="text1"/>
        </w:rPr>
        <w:t>consecutive year</w:t>
      </w:r>
      <w:r w:rsidR="0060577C">
        <w:rPr>
          <w:rFonts w:eastAsia="Times New Roman" w:cstheme="minorHAnsi"/>
          <w:color w:val="000000" w:themeColor="text1"/>
        </w:rPr>
        <w:t>s</w:t>
      </w:r>
      <w:r w:rsidR="0060577C" w:rsidRPr="00E15DA9">
        <w:rPr>
          <w:rFonts w:eastAsia="Times New Roman" w:cstheme="minorHAnsi"/>
          <w:color w:val="000000" w:themeColor="text1"/>
        </w:rPr>
        <w:t xml:space="preserve"> </w:t>
      </w:r>
      <w:r w:rsidR="0060577C">
        <w:rPr>
          <w:rFonts w:eastAsia="Times New Roman" w:cstheme="minorHAnsi"/>
          <w:color w:val="000000" w:themeColor="text1"/>
        </w:rPr>
        <w:t>by</w:t>
      </w:r>
      <w:r w:rsidR="0060577C" w:rsidRPr="00E15DA9">
        <w:rPr>
          <w:rFonts w:eastAsia="Times New Roman" w:cstheme="minorHAnsi"/>
          <w:color w:val="000000" w:themeColor="text1"/>
        </w:rPr>
        <w:t xml:space="preserve"> </w:t>
      </w:r>
      <w:r w:rsidR="0060577C" w:rsidRPr="00FE2B37">
        <w:rPr>
          <w:rFonts w:eastAsia="Times New Roman" w:cstheme="minorHAnsi"/>
          <w:i/>
          <w:color w:val="000000" w:themeColor="text1"/>
        </w:rPr>
        <w:t>Area Development</w:t>
      </w:r>
      <w:r w:rsidR="0060577C" w:rsidRPr="00E15DA9">
        <w:rPr>
          <w:rFonts w:eastAsia="Times New Roman" w:cstheme="minorHAnsi"/>
          <w:color w:val="000000" w:themeColor="text1"/>
        </w:rPr>
        <w:t xml:space="preserve"> magazine</w:t>
      </w:r>
      <w:r w:rsidR="0060577C" w:rsidRPr="00D42A93">
        <w:rPr>
          <w:rFonts w:eastAsia="Times New Roman" w:cstheme="minorHAnsi"/>
          <w:color w:val="000000" w:themeColor="text1"/>
        </w:rPr>
        <w:t xml:space="preserve">. </w:t>
      </w:r>
      <w:r>
        <w:rPr>
          <w:rFonts w:eastAsia="Times New Roman" w:cstheme="minorHAnsi"/>
          <w:color w:val="000000" w:themeColor="text1"/>
        </w:rPr>
        <w:t>The Company</w:t>
      </w:r>
      <w:r w:rsidR="0060577C" w:rsidRPr="00D42A93">
        <w:rPr>
          <w:rFonts w:eastAsia="Times New Roman" w:cstheme="minorHAnsi"/>
          <w:color w:val="000000" w:themeColor="text1"/>
        </w:rPr>
        <w:t xml:space="preserve"> is known for innovation, research, technology and engineering expertise in site selection</w:t>
      </w:r>
      <w:r w:rsidR="0060577C">
        <w:rPr>
          <w:rFonts w:eastAsia="Times New Roman" w:cstheme="minorHAnsi"/>
          <w:color w:val="000000" w:themeColor="text1"/>
        </w:rPr>
        <w:t xml:space="preserve">: </w:t>
      </w:r>
      <w:r>
        <w:rPr>
          <w:rFonts w:eastAsia="Times New Roman" w:cstheme="minorHAnsi"/>
          <w:color w:val="000000" w:themeColor="text1"/>
        </w:rPr>
        <w:t>o</w:t>
      </w:r>
      <w:r w:rsidR="0060577C" w:rsidRPr="003F17F8">
        <w:rPr>
          <w:rFonts w:eastAsia="Times New Roman" w:cstheme="minorHAnsi"/>
          <w:color w:val="000000" w:themeColor="text1"/>
        </w:rPr>
        <w:t xml:space="preserve">ffering the </w:t>
      </w:r>
      <w:r w:rsidR="00A667C2">
        <w:rPr>
          <w:rFonts w:eastAsia="Times New Roman" w:cstheme="minorHAnsi"/>
          <w:color w:val="000000" w:themeColor="text1"/>
        </w:rPr>
        <w:t>o</w:t>
      </w:r>
      <w:r w:rsidR="0060577C" w:rsidRPr="003F17F8">
        <w:rPr>
          <w:rFonts w:eastAsia="Times New Roman" w:cstheme="minorHAnsi"/>
          <w:color w:val="000000" w:themeColor="text1"/>
        </w:rPr>
        <w:t xml:space="preserve">nline SelectGeorgia site tool – a </w:t>
      </w:r>
      <w:r w:rsidR="0060577C" w:rsidRPr="003F17F8">
        <w:rPr>
          <w:rFonts w:eastAsia="Times New Roman" w:cstheme="minorHAnsi"/>
          <w:color w:val="000000" w:themeColor="text1"/>
        </w:rPr>
        <w:lastRenderedPageBreak/>
        <w:t>comprehensive online site search tool available to our state partners and prospects around the world</w:t>
      </w:r>
      <w:r>
        <w:rPr>
          <w:rFonts w:eastAsia="Times New Roman" w:cstheme="minorHAnsi"/>
          <w:color w:val="000000" w:themeColor="text1"/>
        </w:rPr>
        <w:t>; d</w:t>
      </w:r>
      <w:r w:rsidR="0060577C" w:rsidRPr="0028449F">
        <w:rPr>
          <w:rFonts w:eastAsia="Times New Roman" w:cstheme="minorHAnsi"/>
          <w:color w:val="000000" w:themeColor="text1"/>
        </w:rPr>
        <w:t>esign</w:t>
      </w:r>
      <w:r w:rsidR="0060577C">
        <w:rPr>
          <w:rFonts w:eastAsia="Times New Roman" w:cstheme="minorHAnsi"/>
          <w:color w:val="000000" w:themeColor="text1"/>
        </w:rPr>
        <w:t>ing</w:t>
      </w:r>
      <w:r w:rsidR="0060577C" w:rsidRPr="0028449F">
        <w:rPr>
          <w:rFonts w:eastAsia="Times New Roman" w:cstheme="minorHAnsi"/>
          <w:color w:val="000000" w:themeColor="text1"/>
        </w:rPr>
        <w:t xml:space="preserve"> more than 60 industrial parks in the last few years</w:t>
      </w:r>
      <w:r w:rsidR="00A667C2">
        <w:rPr>
          <w:rFonts w:eastAsia="Times New Roman" w:cstheme="minorHAnsi"/>
          <w:color w:val="000000" w:themeColor="text1"/>
        </w:rPr>
        <w:t>;</w:t>
      </w:r>
      <w:r w:rsidR="0060577C" w:rsidRPr="0028449F">
        <w:rPr>
          <w:rFonts w:eastAsia="Times New Roman" w:cstheme="minorHAnsi"/>
          <w:color w:val="000000" w:themeColor="text1"/>
        </w:rPr>
        <w:t xml:space="preserve"> </w:t>
      </w:r>
      <w:r w:rsidR="00155B3B">
        <w:rPr>
          <w:rFonts w:eastAsia="Times New Roman" w:cstheme="minorHAnsi"/>
          <w:color w:val="000000" w:themeColor="text1"/>
        </w:rPr>
        <w:t xml:space="preserve">providing </w:t>
      </w:r>
      <w:r w:rsidR="0060577C" w:rsidRPr="0028449F">
        <w:rPr>
          <w:rFonts w:eastAsia="Times New Roman" w:cstheme="minorHAnsi"/>
          <w:color w:val="000000" w:themeColor="text1"/>
        </w:rPr>
        <w:t>hundreds of engineering designs for manufacturing and mixed-use developments</w:t>
      </w:r>
      <w:r>
        <w:rPr>
          <w:rFonts w:eastAsia="Times New Roman" w:cstheme="minorHAnsi"/>
          <w:color w:val="000000" w:themeColor="text1"/>
        </w:rPr>
        <w:t>; and h</w:t>
      </w:r>
      <w:r w:rsidR="0060577C" w:rsidRPr="0028449F">
        <w:rPr>
          <w:rFonts w:eastAsia="Times New Roman" w:cstheme="minorHAnsi"/>
          <w:color w:val="000000" w:themeColor="text1"/>
        </w:rPr>
        <w:t>ost</w:t>
      </w:r>
      <w:r w:rsidR="0060577C">
        <w:rPr>
          <w:rFonts w:eastAsia="Times New Roman" w:cstheme="minorHAnsi"/>
          <w:color w:val="000000" w:themeColor="text1"/>
        </w:rPr>
        <w:t>ing</w:t>
      </w:r>
      <w:r w:rsidR="0060577C" w:rsidRPr="0028449F">
        <w:rPr>
          <w:rFonts w:eastAsia="Times New Roman" w:cstheme="minorHAnsi"/>
          <w:color w:val="000000" w:themeColor="text1"/>
        </w:rPr>
        <w:t xml:space="preserve"> site selection projects at our state-of-the-art Georgia Experience Center</w:t>
      </w:r>
      <w:r w:rsidR="0060577C">
        <w:rPr>
          <w:rFonts w:eastAsia="Times New Roman" w:cstheme="minorHAnsi"/>
          <w:color w:val="000000" w:themeColor="text1"/>
        </w:rPr>
        <w:t>.</w:t>
      </w:r>
    </w:p>
    <w:p w14:paraId="287AF09B" w14:textId="77777777" w:rsidR="0060577C" w:rsidRDefault="0060577C" w:rsidP="0060577C">
      <w:pPr>
        <w:spacing w:line="360" w:lineRule="auto"/>
        <w:jc w:val="both"/>
      </w:pPr>
    </w:p>
    <w:p w14:paraId="0F6D3218" w14:textId="7CE4A02F" w:rsidR="0060577C" w:rsidRDefault="00E62443" w:rsidP="0060577C">
      <w:pPr>
        <w:spacing w:line="360" w:lineRule="auto"/>
        <w:ind w:left="720"/>
        <w:jc w:val="both"/>
      </w:pPr>
      <w:r>
        <w:t>Education is</w:t>
      </w:r>
      <w:r w:rsidR="0060577C">
        <w:t xml:space="preserve"> at the core of </w:t>
      </w:r>
      <w:r>
        <w:t xml:space="preserve">the Company’s </w:t>
      </w:r>
      <w:r w:rsidR="0060577C">
        <w:t>workforce development strategy, not only focusing on education, energy pathways and career success but also on cultivating a trained, motivated workforce for the entire state of Georgia</w:t>
      </w:r>
      <w:r w:rsidR="00BB0816">
        <w:t xml:space="preserve"> </w:t>
      </w:r>
      <w:r w:rsidR="0060577C">
        <w:t>by:</w:t>
      </w:r>
    </w:p>
    <w:p w14:paraId="6B2776A4" w14:textId="1C53B47F" w:rsidR="0060577C" w:rsidRDefault="0060577C" w:rsidP="00B31B75">
      <w:pPr>
        <w:pStyle w:val="ListParagraph"/>
        <w:numPr>
          <w:ilvl w:val="0"/>
          <w:numId w:val="12"/>
        </w:numPr>
        <w:spacing w:after="160" w:line="360" w:lineRule="auto"/>
        <w:ind w:left="1440"/>
        <w:jc w:val="both"/>
      </w:pPr>
      <w:r>
        <w:t>Promoting statewide workforce readiness through communities, businesses and schools</w:t>
      </w:r>
      <w:r w:rsidR="00E62443">
        <w:t>;</w:t>
      </w:r>
    </w:p>
    <w:p w14:paraId="63FF6D0F" w14:textId="52401B44" w:rsidR="0060577C" w:rsidRDefault="0060577C" w:rsidP="00B31B75">
      <w:pPr>
        <w:pStyle w:val="ListParagraph"/>
        <w:numPr>
          <w:ilvl w:val="0"/>
          <w:numId w:val="12"/>
        </w:numPr>
        <w:spacing w:after="160" w:line="360" w:lineRule="auto"/>
        <w:ind w:left="1440"/>
        <w:jc w:val="both"/>
      </w:pPr>
      <w:r>
        <w:t>Sponsoring aptitude test YouScience in schools, career academies and Georgia FIRST Robotics</w:t>
      </w:r>
      <w:r w:rsidR="00E62443">
        <w:t>;</w:t>
      </w:r>
    </w:p>
    <w:p w14:paraId="5907BF79" w14:textId="081C291C" w:rsidR="0060577C" w:rsidRDefault="0060577C" w:rsidP="00B31B75">
      <w:pPr>
        <w:pStyle w:val="ListParagraph"/>
        <w:numPr>
          <w:ilvl w:val="0"/>
          <w:numId w:val="12"/>
        </w:numPr>
        <w:spacing w:after="160" w:line="360" w:lineRule="auto"/>
        <w:ind w:left="1440"/>
        <w:jc w:val="both"/>
      </w:pPr>
      <w:r>
        <w:t>Focusing on enhancing teacher quality to motivate students to pursue science, technology, engineering and mathematics (</w:t>
      </w:r>
      <w:r w:rsidR="00EC7A36">
        <w:t>“</w:t>
      </w:r>
      <w:r>
        <w:t>STEM</w:t>
      </w:r>
      <w:r w:rsidR="00EC7A36">
        <w:t>”</w:t>
      </w:r>
      <w:r>
        <w:t>) careers</w:t>
      </w:r>
      <w:r w:rsidR="00E62443">
        <w:t>;</w:t>
      </w:r>
    </w:p>
    <w:p w14:paraId="19497BCC" w14:textId="37CEF21A" w:rsidR="0060577C" w:rsidRDefault="0060577C" w:rsidP="00B31B75">
      <w:pPr>
        <w:pStyle w:val="ListParagraph"/>
        <w:numPr>
          <w:ilvl w:val="0"/>
          <w:numId w:val="12"/>
        </w:numPr>
        <w:spacing w:after="160" w:line="360" w:lineRule="auto"/>
        <w:ind w:left="1440"/>
        <w:jc w:val="both"/>
      </w:pPr>
      <w:r>
        <w:t>D</w:t>
      </w:r>
      <w:r w:rsidRPr="00CC165C">
        <w:t>eliver</w:t>
      </w:r>
      <w:r>
        <w:t>ing</w:t>
      </w:r>
      <w:r w:rsidRPr="00CC165C">
        <w:t xml:space="preserve"> hands-on STEM-based, energy and energy</w:t>
      </w:r>
      <w:r>
        <w:t>-</w:t>
      </w:r>
      <w:r w:rsidRPr="00CC165C">
        <w:t>efficiency lessons in classrooms</w:t>
      </w:r>
      <w:r w:rsidR="00A667C2">
        <w:t xml:space="preserve"> </w:t>
      </w:r>
      <w:r w:rsidR="00090377">
        <w:t xml:space="preserve">to thousands of </w:t>
      </w:r>
      <w:r w:rsidR="00A667C2" w:rsidRPr="00A667C2">
        <w:t xml:space="preserve">pre-K through Grade 12 </w:t>
      </w:r>
      <w:r w:rsidR="00090377">
        <w:t>students each year</w:t>
      </w:r>
      <w:r w:rsidRPr="00CC165C">
        <w:t xml:space="preserve"> that meet Georgia Standards of Excellence and make students, parents and teachers aware of energy and energy</w:t>
      </w:r>
      <w:r w:rsidR="006C52CF">
        <w:t>-</w:t>
      </w:r>
      <w:r w:rsidRPr="00CC165C">
        <w:t>efficiency opportunities and careers</w:t>
      </w:r>
      <w:r>
        <w:t xml:space="preserve"> through our Learning Power program</w:t>
      </w:r>
      <w:r w:rsidR="00090377">
        <w:t>;</w:t>
      </w:r>
    </w:p>
    <w:p w14:paraId="331EF7BC" w14:textId="353D55E9" w:rsidR="0060577C" w:rsidRDefault="0060577C" w:rsidP="00B31B75">
      <w:pPr>
        <w:pStyle w:val="ListParagraph"/>
        <w:numPr>
          <w:ilvl w:val="0"/>
          <w:numId w:val="12"/>
        </w:numPr>
        <w:spacing w:after="160" w:line="360" w:lineRule="auto"/>
        <w:ind w:left="1440"/>
        <w:jc w:val="both"/>
      </w:pPr>
      <w:r>
        <w:t>Partnering with energy sector partners at the local, state and national level to raise awareness of energy to attract and prepare students for future opportunities in the energy industry</w:t>
      </w:r>
      <w:r w:rsidR="00090377">
        <w:t>; and</w:t>
      </w:r>
    </w:p>
    <w:p w14:paraId="4612AABB" w14:textId="737DAF34" w:rsidR="0060577C" w:rsidRDefault="0060577C" w:rsidP="00B31B75">
      <w:pPr>
        <w:pStyle w:val="ListParagraph"/>
        <w:numPr>
          <w:ilvl w:val="0"/>
          <w:numId w:val="12"/>
        </w:numPr>
        <w:spacing w:after="160" w:line="360" w:lineRule="auto"/>
        <w:ind w:left="1440"/>
        <w:jc w:val="both"/>
      </w:pPr>
      <w:r>
        <w:t xml:space="preserve">Partnering with the construction industry to ensure </w:t>
      </w:r>
      <w:r w:rsidR="00155B3B">
        <w:t xml:space="preserve">a </w:t>
      </w:r>
      <w:r>
        <w:t xml:space="preserve">skilled labor workforce is available to build and maintain generation in Georgia. </w:t>
      </w:r>
    </w:p>
    <w:p w14:paraId="552CB40E" w14:textId="77777777" w:rsidR="0060577C" w:rsidRDefault="0060577C" w:rsidP="0060577C">
      <w:pPr>
        <w:spacing w:line="360" w:lineRule="auto"/>
        <w:ind w:left="720"/>
        <w:jc w:val="both"/>
      </w:pPr>
      <w:r>
        <w:lastRenderedPageBreak/>
        <w:t xml:space="preserve">These efforts and our commitment to the state of Georgia are, in part, what have earned us recognition from </w:t>
      </w:r>
      <w:r w:rsidRPr="00FE2B37">
        <w:rPr>
          <w:i/>
        </w:rPr>
        <w:t>Site Selection</w:t>
      </w:r>
      <w:r>
        <w:t xml:space="preserve"> magazine as one of the top 10 utilities for economic development for 20 consecutive years.</w:t>
      </w:r>
    </w:p>
    <w:p w14:paraId="3C628C31" w14:textId="77777777" w:rsidR="00DE6A52" w:rsidRDefault="00DE6A52" w:rsidP="0060577C">
      <w:pPr>
        <w:spacing w:line="360" w:lineRule="auto"/>
        <w:jc w:val="both"/>
        <w:rPr>
          <w:b/>
        </w:rPr>
      </w:pPr>
    </w:p>
    <w:p w14:paraId="1BE85162" w14:textId="77777777" w:rsidR="0060577C" w:rsidRPr="0036733A" w:rsidRDefault="0060577C" w:rsidP="0060577C">
      <w:pPr>
        <w:spacing w:line="360" w:lineRule="auto"/>
        <w:ind w:left="720" w:hanging="720"/>
        <w:jc w:val="both"/>
        <w:rPr>
          <w:b/>
        </w:rPr>
      </w:pPr>
      <w:r>
        <w:rPr>
          <w:b/>
        </w:rPr>
        <w:t>Q.</w:t>
      </w:r>
      <w:r>
        <w:rPr>
          <w:b/>
        </w:rPr>
        <w:tab/>
      </w:r>
      <w:bookmarkStart w:id="8" w:name="_Hlk11133192"/>
      <w:r w:rsidRPr="0036733A">
        <w:rPr>
          <w:b/>
        </w:rPr>
        <w:t>HOW ELSE IS THE COMPANY INVOLVED IN HELPING THE COMMUNITIES IT SERVES?</w:t>
      </w:r>
    </w:p>
    <w:bookmarkEnd w:id="8"/>
    <w:p w14:paraId="09063E6C" w14:textId="20EB106D" w:rsidR="00363E6B" w:rsidRPr="00363E6B" w:rsidRDefault="00542780" w:rsidP="00542780">
      <w:pPr>
        <w:spacing w:line="360" w:lineRule="auto"/>
        <w:ind w:left="720" w:hanging="720"/>
        <w:jc w:val="both"/>
      </w:pPr>
      <w:r>
        <w:t>A:</w:t>
      </w:r>
      <w:r>
        <w:tab/>
      </w:r>
      <w:r w:rsidR="00363E6B" w:rsidRPr="00363E6B">
        <w:t>The Company has continued its commitment to being a “Citizen Wherever We Serve</w:t>
      </w:r>
      <w:r w:rsidR="006C52CF">
        <w:t>,</w:t>
      </w:r>
      <w:r w:rsidR="00363E6B" w:rsidRPr="00363E6B">
        <w:t xml:space="preserve">” and </w:t>
      </w:r>
      <w:r w:rsidR="00A667C2">
        <w:t xml:space="preserve">our employees and retirees have continued to </w:t>
      </w:r>
      <w:r w:rsidR="00363E6B" w:rsidRPr="00363E6B">
        <w:t>cultivat</w:t>
      </w:r>
      <w:r w:rsidR="00A667C2">
        <w:t>e</w:t>
      </w:r>
      <w:r w:rsidR="00363E6B" w:rsidRPr="00363E6B">
        <w:t xml:space="preserve"> change for local communities over the past six years. Employees and retirees volunteered nearly </w:t>
      </w:r>
      <w:r w:rsidR="006C52CF">
        <w:t>one</w:t>
      </w:r>
      <w:r w:rsidR="00363E6B" w:rsidRPr="00363E6B">
        <w:t xml:space="preserve"> million hours – an average of 150,000 service hours donated each year – valued at more than $21 million. Employees </w:t>
      </w:r>
      <w:r w:rsidR="00363E6B">
        <w:t xml:space="preserve">also </w:t>
      </w:r>
      <w:r w:rsidR="00363E6B" w:rsidRPr="00363E6B">
        <w:t>raised $5 million through the Club of Hearts – Georgia Power’s employee giving campaign where the Company matches dollar</w:t>
      </w:r>
      <w:r w:rsidR="00957990">
        <w:t>-</w:t>
      </w:r>
      <w:r w:rsidR="00363E6B" w:rsidRPr="00363E6B">
        <w:t>for</w:t>
      </w:r>
      <w:r w:rsidR="00957990">
        <w:t>-</w:t>
      </w:r>
      <w:r w:rsidR="00363E6B" w:rsidRPr="00363E6B">
        <w:t xml:space="preserve">dollar (up to $10,000 per person) on charitable contributions to United Way and Club of Hearts agencies. The Citizens of Georgia Power and Ambassadors, the </w:t>
      </w:r>
      <w:r w:rsidR="006726C0">
        <w:t>C</w:t>
      </w:r>
      <w:r w:rsidR="00363E6B" w:rsidRPr="00363E6B">
        <w:t xml:space="preserve">ompany’s employee and retiree volunteer organizations, also raised $3.7 million benefitting community organizations throughout the state. </w:t>
      </w:r>
    </w:p>
    <w:p w14:paraId="4F957DD7" w14:textId="77777777" w:rsidR="00363E6B" w:rsidRPr="00363E6B" w:rsidRDefault="00363E6B" w:rsidP="00363E6B">
      <w:pPr>
        <w:spacing w:line="360" w:lineRule="auto"/>
        <w:jc w:val="both"/>
      </w:pPr>
    </w:p>
    <w:p w14:paraId="35097B52" w14:textId="722EECEE" w:rsidR="00363E6B" w:rsidRPr="00363E6B" w:rsidRDefault="00363E6B" w:rsidP="00363E6B">
      <w:pPr>
        <w:spacing w:line="360" w:lineRule="auto"/>
        <w:ind w:left="720"/>
        <w:jc w:val="both"/>
      </w:pPr>
      <w:r w:rsidRPr="00363E6B">
        <w:t>The Company not only encourages employees to give back but also provide</w:t>
      </w:r>
      <w:r w:rsidR="00334ADC">
        <w:t>s</w:t>
      </w:r>
      <w:r w:rsidRPr="00363E6B">
        <w:t xml:space="preserve"> opportunities for customers to give back</w:t>
      </w:r>
      <w:r w:rsidR="006C52CF">
        <w:t xml:space="preserve"> as well</w:t>
      </w:r>
      <w:r w:rsidRPr="00363E6B">
        <w:t xml:space="preserve">. Georgia Power supports initiatives, such as the Salvation Army’s Project SHARE and Purposity, a new charitable giving digital platform, to offer easy ways for customers across the state to make an impact in their own community.  Georgia Power and its customers have donated more than </w:t>
      </w:r>
      <w:r w:rsidRPr="005F5E2B">
        <w:t>$13 million</w:t>
      </w:r>
      <w:r w:rsidRPr="00363E6B">
        <w:t xml:space="preserve"> to Project SHARE alone since 2013. In 2018, the Company and its employees donated more than 2,500 backpacks to students </w:t>
      </w:r>
      <w:r w:rsidR="00155B3B">
        <w:t xml:space="preserve">across the state </w:t>
      </w:r>
      <w:r w:rsidRPr="00363E6B">
        <w:t>through the Purposity platform.</w:t>
      </w:r>
    </w:p>
    <w:p w14:paraId="47CCC6F0" w14:textId="77777777" w:rsidR="00363E6B" w:rsidRPr="00363E6B" w:rsidRDefault="00363E6B" w:rsidP="00363E6B">
      <w:pPr>
        <w:spacing w:line="360" w:lineRule="auto"/>
        <w:jc w:val="both"/>
      </w:pPr>
    </w:p>
    <w:p w14:paraId="5EB10E75" w14:textId="2BB7A176" w:rsidR="00BA4D1D" w:rsidRPr="00363E6B" w:rsidRDefault="00363E6B" w:rsidP="00363E6B">
      <w:pPr>
        <w:spacing w:line="360" w:lineRule="auto"/>
        <w:ind w:left="720"/>
        <w:jc w:val="both"/>
      </w:pPr>
      <w:r w:rsidRPr="00363E6B">
        <w:lastRenderedPageBreak/>
        <w:t xml:space="preserve">For Georgia Power, these efforts are a tangible way for employees to live out the Company’s nearly 100-year-old motto of being a “Citizen Wherever We Serve.”  The Company aims to be judged not only by the service we provide but </w:t>
      </w:r>
      <w:r w:rsidR="00A667C2">
        <w:t xml:space="preserve">also </w:t>
      </w:r>
      <w:r w:rsidRPr="00363E6B">
        <w:t>what we do to improve the quality of life for all Georgians. Georgia Power has grown to be one of the most respected companies in the state, in no small part, because of its steadfast commitment to the communities it serves. That is a commitment that will continue for generations to come.</w:t>
      </w:r>
    </w:p>
    <w:p w14:paraId="123A2472" w14:textId="77777777" w:rsidR="00155E66" w:rsidRDefault="00155E66" w:rsidP="00363E6B">
      <w:pPr>
        <w:spacing w:line="360" w:lineRule="auto"/>
        <w:jc w:val="both"/>
        <w:rPr>
          <w:b/>
        </w:rPr>
      </w:pPr>
    </w:p>
    <w:p w14:paraId="33D8E68E" w14:textId="671D00B5" w:rsidR="002B2ECD" w:rsidRPr="003F17F8" w:rsidRDefault="002B2ECD" w:rsidP="003F17F8">
      <w:pPr>
        <w:spacing w:line="360" w:lineRule="auto"/>
        <w:jc w:val="both"/>
        <w:rPr>
          <w:b/>
        </w:rPr>
      </w:pPr>
      <w:r w:rsidRPr="003F17F8">
        <w:rPr>
          <w:b/>
        </w:rPr>
        <w:t>Q.</w:t>
      </w:r>
      <w:r w:rsidRPr="003F17F8">
        <w:rPr>
          <w:b/>
        </w:rPr>
        <w:tab/>
        <w:t>HOW IS THE REST OF THE COMPANY’S TESTIMONY STRUCTURED?</w:t>
      </w:r>
    </w:p>
    <w:p w14:paraId="2311A097" w14:textId="3B1A4F7D" w:rsidR="000A5F03" w:rsidRDefault="002B2ECD" w:rsidP="003F17F8">
      <w:pPr>
        <w:spacing w:line="360" w:lineRule="auto"/>
        <w:ind w:left="720" w:hanging="720"/>
        <w:jc w:val="both"/>
        <w:rPr>
          <w:rFonts w:asciiTheme="majorBidi" w:eastAsia="Times New Roman" w:hAnsiTheme="majorBidi" w:cstheme="majorBidi"/>
          <w:color w:val="000000"/>
        </w:rPr>
      </w:pPr>
      <w:r>
        <w:t>A.</w:t>
      </w:r>
      <w:r>
        <w:tab/>
      </w:r>
      <w:r w:rsidR="00534483">
        <w:rPr>
          <w:rFonts w:asciiTheme="majorBidi" w:hAnsiTheme="majorBidi" w:cstheme="majorBidi"/>
        </w:rPr>
        <w:t>First</w:t>
      </w:r>
      <w:r w:rsidRPr="003F17F8">
        <w:rPr>
          <w:rFonts w:asciiTheme="majorBidi" w:hAnsiTheme="majorBidi" w:cstheme="majorBidi"/>
        </w:rPr>
        <w:t xml:space="preserve"> will be </w:t>
      </w:r>
      <w:r w:rsidR="00534483">
        <w:rPr>
          <w:rFonts w:asciiTheme="majorBidi" w:hAnsiTheme="majorBidi" w:cstheme="majorBidi"/>
        </w:rPr>
        <w:t>the</w:t>
      </w:r>
      <w:r w:rsidRPr="003F17F8">
        <w:rPr>
          <w:rFonts w:asciiTheme="majorBidi" w:hAnsiTheme="majorBidi" w:cstheme="majorBidi"/>
        </w:rPr>
        <w:t xml:space="preserve"> panel of Mr. David Poroch, our EVP, CFO, and Comptroller</w:t>
      </w:r>
      <w:r w:rsidR="00A667C2">
        <w:rPr>
          <w:rFonts w:asciiTheme="majorBidi" w:hAnsiTheme="majorBidi" w:cstheme="majorBidi"/>
        </w:rPr>
        <w:t>;</w:t>
      </w:r>
      <w:r w:rsidRPr="003F17F8">
        <w:rPr>
          <w:rFonts w:asciiTheme="majorBidi" w:hAnsiTheme="majorBidi" w:cstheme="majorBidi"/>
        </w:rPr>
        <w:t xml:space="preserve"> Ms. Sarah Adams, our </w:t>
      </w:r>
      <w:r w:rsidR="00272A8F" w:rsidRPr="003F17F8">
        <w:rPr>
          <w:rFonts w:asciiTheme="majorBidi" w:hAnsiTheme="majorBidi" w:cstheme="majorBidi"/>
        </w:rPr>
        <w:t>Assistant Comptroller</w:t>
      </w:r>
      <w:r w:rsidR="00A667C2">
        <w:rPr>
          <w:rFonts w:asciiTheme="majorBidi" w:hAnsiTheme="majorBidi" w:cstheme="majorBidi"/>
        </w:rPr>
        <w:t>;</w:t>
      </w:r>
      <w:r w:rsidRPr="003F17F8">
        <w:rPr>
          <w:rFonts w:asciiTheme="majorBidi" w:hAnsiTheme="majorBidi" w:cstheme="majorBidi"/>
        </w:rPr>
        <w:t xml:space="preserve"> and Mr. Michael Robinson, our Power Deliver</w:t>
      </w:r>
      <w:r w:rsidR="00534483">
        <w:rPr>
          <w:rFonts w:asciiTheme="majorBidi" w:hAnsiTheme="majorBidi" w:cstheme="majorBidi"/>
        </w:rPr>
        <w:t>y</w:t>
      </w:r>
      <w:r w:rsidRPr="003F17F8">
        <w:rPr>
          <w:rFonts w:asciiTheme="majorBidi" w:hAnsiTheme="majorBidi" w:cstheme="majorBidi"/>
        </w:rPr>
        <w:t xml:space="preserve"> General Manager. </w:t>
      </w:r>
      <w:r w:rsidR="00FD5BBF" w:rsidRPr="003F17F8">
        <w:rPr>
          <w:rFonts w:asciiTheme="majorBidi" w:hAnsiTheme="majorBidi" w:cstheme="majorBidi"/>
        </w:rPr>
        <w:t xml:space="preserve">Their testimony will </w:t>
      </w:r>
      <w:r w:rsidR="000A5F03">
        <w:rPr>
          <w:rFonts w:asciiTheme="majorBidi" w:hAnsiTheme="majorBidi" w:cstheme="majorBidi"/>
        </w:rPr>
        <w:t>provide a detailed explanation of why</w:t>
      </w:r>
      <w:r w:rsidR="00FD5BBF" w:rsidRPr="003F17F8">
        <w:rPr>
          <w:rFonts w:asciiTheme="majorBidi" w:eastAsia="Times New Roman" w:hAnsiTheme="majorBidi" w:cstheme="majorBidi"/>
          <w:color w:val="000000"/>
        </w:rPr>
        <w:t xml:space="preserve"> the Company’s revenues under current rates are inadequate to cover the Company’s cost of service</w:t>
      </w:r>
      <w:r w:rsidR="000A5F03">
        <w:rPr>
          <w:rFonts w:asciiTheme="majorBidi" w:eastAsia="Times New Roman" w:hAnsiTheme="majorBidi" w:cstheme="majorBidi"/>
          <w:color w:val="000000"/>
        </w:rPr>
        <w:t xml:space="preserve">.  They will set out in detail the modifications </w:t>
      </w:r>
      <w:r w:rsidR="00FD5BBF" w:rsidRPr="003F17F8">
        <w:rPr>
          <w:rFonts w:asciiTheme="majorBidi" w:eastAsia="Times New Roman" w:hAnsiTheme="majorBidi" w:cstheme="majorBidi"/>
          <w:color w:val="000000"/>
        </w:rPr>
        <w:t xml:space="preserve">we propose </w:t>
      </w:r>
      <w:r w:rsidR="000A5F03">
        <w:rPr>
          <w:rFonts w:asciiTheme="majorBidi" w:eastAsia="Times New Roman" w:hAnsiTheme="majorBidi" w:cstheme="majorBidi"/>
          <w:color w:val="000000"/>
        </w:rPr>
        <w:t>for</w:t>
      </w:r>
      <w:r w:rsidR="00FD5BBF" w:rsidRPr="003F17F8">
        <w:rPr>
          <w:rFonts w:asciiTheme="majorBidi" w:eastAsia="Times New Roman" w:hAnsiTheme="majorBidi" w:cstheme="majorBidi"/>
          <w:color w:val="000000"/>
        </w:rPr>
        <w:t xml:space="preserve"> continuation of the existing ARP</w:t>
      </w:r>
      <w:r w:rsidR="00155B3B">
        <w:rPr>
          <w:rFonts w:asciiTheme="majorBidi" w:eastAsia="Times New Roman" w:hAnsiTheme="majorBidi" w:cstheme="majorBidi"/>
          <w:color w:val="000000"/>
        </w:rPr>
        <w:t>s</w:t>
      </w:r>
      <w:r w:rsidR="00FD5BBF" w:rsidRPr="003F17F8">
        <w:rPr>
          <w:rFonts w:asciiTheme="majorBidi" w:eastAsia="Times New Roman" w:hAnsiTheme="majorBidi" w:cstheme="majorBidi"/>
          <w:color w:val="000000"/>
        </w:rPr>
        <w:t xml:space="preserve">. </w:t>
      </w:r>
      <w:r w:rsidR="00155E66">
        <w:rPr>
          <w:rFonts w:asciiTheme="majorBidi" w:eastAsia="Times New Roman" w:hAnsiTheme="majorBidi" w:cstheme="majorBidi"/>
          <w:color w:val="000000"/>
        </w:rPr>
        <w:t>Their testimony will also discuss the Company’s grid investment plan for T&amp;D projects over the next several year</w:t>
      </w:r>
      <w:r w:rsidR="00155E66" w:rsidRPr="00C91D51">
        <w:rPr>
          <w:rFonts w:asciiTheme="majorBidi" w:eastAsia="Times New Roman" w:hAnsiTheme="majorBidi" w:cstheme="majorBidi"/>
          <w:color w:val="000000"/>
        </w:rPr>
        <w:t>s.</w:t>
      </w:r>
    </w:p>
    <w:p w14:paraId="764A93DF" w14:textId="77777777" w:rsidR="00534483" w:rsidRDefault="00534483" w:rsidP="003F17F8">
      <w:pPr>
        <w:spacing w:line="360" w:lineRule="auto"/>
        <w:ind w:left="720"/>
        <w:jc w:val="both"/>
        <w:rPr>
          <w:rFonts w:asciiTheme="majorBidi" w:eastAsia="Times New Roman" w:hAnsiTheme="majorBidi" w:cstheme="majorBidi"/>
          <w:color w:val="000000"/>
        </w:rPr>
      </w:pPr>
    </w:p>
    <w:p w14:paraId="2617DC1B" w14:textId="2CA4AD79" w:rsidR="00262581" w:rsidRDefault="000A5F03" w:rsidP="003F17F8">
      <w:pPr>
        <w:spacing w:line="360" w:lineRule="auto"/>
        <w:ind w:left="720"/>
        <w:jc w:val="both"/>
        <w:rPr>
          <w:rFonts w:asciiTheme="majorBidi" w:eastAsia="Times New Roman" w:hAnsiTheme="majorBidi" w:cstheme="majorBidi"/>
          <w:color w:val="000000"/>
        </w:rPr>
      </w:pPr>
      <w:r>
        <w:rPr>
          <w:rFonts w:asciiTheme="majorBidi" w:eastAsia="Times New Roman" w:hAnsiTheme="majorBidi" w:cstheme="majorBidi"/>
          <w:color w:val="000000"/>
        </w:rPr>
        <w:t>Following that panel, Dr. James Vander</w:t>
      </w:r>
      <w:r w:rsidR="002D5762">
        <w:rPr>
          <w:rFonts w:asciiTheme="majorBidi" w:eastAsia="Times New Roman" w:hAnsiTheme="majorBidi" w:cstheme="majorBidi"/>
          <w:color w:val="000000"/>
        </w:rPr>
        <w:t xml:space="preserve"> </w:t>
      </w:r>
      <w:r>
        <w:rPr>
          <w:rFonts w:asciiTheme="majorBidi" w:eastAsia="Times New Roman" w:hAnsiTheme="majorBidi" w:cstheme="majorBidi"/>
          <w:color w:val="000000"/>
        </w:rPr>
        <w:t xml:space="preserve">Weide will present his </w:t>
      </w:r>
      <w:r w:rsidRPr="005F5E2B">
        <w:rPr>
          <w:rFonts w:asciiTheme="majorBidi" w:eastAsia="Times New Roman" w:hAnsiTheme="majorBidi" w:cstheme="majorBidi"/>
          <w:color w:val="000000"/>
        </w:rPr>
        <w:t>expert</w:t>
      </w:r>
      <w:r>
        <w:rPr>
          <w:rFonts w:asciiTheme="majorBidi" w:eastAsia="Times New Roman" w:hAnsiTheme="majorBidi" w:cstheme="majorBidi"/>
          <w:color w:val="000000"/>
        </w:rPr>
        <w:t xml:space="preserve"> opinion as </w:t>
      </w:r>
      <w:r w:rsidR="00957990">
        <w:rPr>
          <w:rFonts w:asciiTheme="majorBidi" w:eastAsia="Times New Roman" w:hAnsiTheme="majorBidi" w:cstheme="majorBidi"/>
          <w:color w:val="000000"/>
        </w:rPr>
        <w:t xml:space="preserve">to </w:t>
      </w:r>
      <w:r>
        <w:rPr>
          <w:rFonts w:asciiTheme="majorBidi" w:eastAsia="Times New Roman" w:hAnsiTheme="majorBidi" w:cstheme="majorBidi"/>
          <w:color w:val="000000"/>
        </w:rPr>
        <w:t>the appropriate return on equity required by the financial markets</w:t>
      </w:r>
      <w:r w:rsidR="00FD5BBF" w:rsidRPr="003F17F8">
        <w:rPr>
          <w:rFonts w:asciiTheme="majorBidi" w:eastAsia="Times New Roman" w:hAnsiTheme="majorBidi" w:cstheme="majorBidi"/>
          <w:color w:val="000000"/>
        </w:rPr>
        <w:t>.</w:t>
      </w:r>
    </w:p>
    <w:p w14:paraId="1B15AE80" w14:textId="35E9E09C" w:rsidR="00CC34BF" w:rsidRDefault="00534483" w:rsidP="003F17F8">
      <w:pPr>
        <w:spacing w:line="360" w:lineRule="auto"/>
        <w:ind w:left="720"/>
        <w:jc w:val="both"/>
        <w:rPr>
          <w:rFonts w:asciiTheme="majorBidi" w:eastAsia="Times New Roman" w:hAnsiTheme="majorBidi" w:cstheme="majorBidi"/>
          <w:color w:val="000000"/>
        </w:rPr>
      </w:pPr>
      <w:r>
        <w:rPr>
          <w:rFonts w:asciiTheme="majorBidi" w:eastAsia="Times New Roman" w:hAnsiTheme="majorBidi" w:cstheme="majorBidi"/>
          <w:color w:val="000000"/>
        </w:rPr>
        <w:t xml:space="preserve"> </w:t>
      </w:r>
    </w:p>
    <w:p w14:paraId="29D4137B" w14:textId="77777777" w:rsidR="000A5F03" w:rsidRDefault="000A5F03" w:rsidP="003F17F8">
      <w:pPr>
        <w:spacing w:line="360" w:lineRule="auto"/>
        <w:ind w:left="720"/>
        <w:jc w:val="both"/>
        <w:rPr>
          <w:rFonts w:asciiTheme="majorBidi" w:eastAsia="Times New Roman" w:hAnsiTheme="majorBidi" w:cstheme="majorBidi"/>
          <w:color w:val="000000"/>
        </w:rPr>
      </w:pPr>
      <w:r>
        <w:rPr>
          <w:rFonts w:asciiTheme="majorBidi" w:eastAsia="Times New Roman" w:hAnsiTheme="majorBidi" w:cstheme="majorBidi"/>
          <w:color w:val="000000"/>
        </w:rPr>
        <w:t xml:space="preserve">Next, Mr. Steven Fetter will provide testimony from his perspective as a former state regulatory commissioner and former head of a major credit rating agency.  He will focus on the importance of credit ratings for regulated utilities and their customers, the importance of constructive utility regulation as an underpinning of strong credit quality, how the </w:t>
      </w:r>
      <w:r>
        <w:rPr>
          <w:rFonts w:asciiTheme="majorBidi" w:eastAsia="Times New Roman" w:hAnsiTheme="majorBidi" w:cstheme="majorBidi"/>
          <w:color w:val="000000"/>
        </w:rPr>
        <w:lastRenderedPageBreak/>
        <w:t>Company is currently viewed by credit rating agencies, and</w:t>
      </w:r>
      <w:r w:rsidR="00534483">
        <w:rPr>
          <w:rFonts w:asciiTheme="majorBidi" w:eastAsia="Times New Roman" w:hAnsiTheme="majorBidi" w:cstheme="majorBidi"/>
          <w:color w:val="000000"/>
        </w:rPr>
        <w:t xml:space="preserve"> how</w:t>
      </w:r>
      <w:r>
        <w:rPr>
          <w:rFonts w:asciiTheme="majorBidi" w:eastAsia="Times New Roman" w:hAnsiTheme="majorBidi" w:cstheme="majorBidi"/>
          <w:color w:val="000000"/>
        </w:rPr>
        <w:t xml:space="preserve"> the financial community currently views the utility regulatory environment in Georgia.</w:t>
      </w:r>
    </w:p>
    <w:p w14:paraId="47FC2B40" w14:textId="77777777" w:rsidR="00534483" w:rsidRDefault="00534483" w:rsidP="003F17F8">
      <w:pPr>
        <w:spacing w:line="360" w:lineRule="auto"/>
        <w:ind w:left="720"/>
        <w:jc w:val="both"/>
        <w:rPr>
          <w:rFonts w:asciiTheme="majorBidi" w:eastAsia="Times New Roman" w:hAnsiTheme="majorBidi" w:cstheme="majorBidi"/>
          <w:color w:val="000000"/>
        </w:rPr>
      </w:pPr>
    </w:p>
    <w:p w14:paraId="0F383752" w14:textId="67863905" w:rsidR="0060577C" w:rsidRDefault="007B0B57" w:rsidP="00AE0BF3">
      <w:pPr>
        <w:spacing w:line="360" w:lineRule="auto"/>
        <w:ind w:left="720"/>
        <w:jc w:val="both"/>
        <w:rPr>
          <w:rFonts w:asciiTheme="majorBidi" w:eastAsia="Times New Roman" w:hAnsiTheme="majorBidi" w:cstheme="majorBidi"/>
          <w:color w:val="000000"/>
        </w:rPr>
      </w:pPr>
      <w:r w:rsidRPr="003A27FB">
        <w:rPr>
          <w:rFonts w:asciiTheme="majorBidi" w:eastAsia="Times New Roman" w:hAnsiTheme="majorBidi" w:cstheme="majorBidi"/>
          <w:color w:val="000000"/>
        </w:rPr>
        <w:t xml:space="preserve">Next, Mr. Larry Vogt will present </w:t>
      </w:r>
      <w:r w:rsidR="00534483" w:rsidRPr="003A27FB">
        <w:rPr>
          <w:rFonts w:asciiTheme="majorBidi" w:eastAsia="Times New Roman" w:hAnsiTheme="majorBidi" w:cstheme="majorBidi"/>
          <w:color w:val="000000"/>
        </w:rPr>
        <w:t>the Company’s</w:t>
      </w:r>
      <w:r w:rsidRPr="003A27FB">
        <w:rPr>
          <w:rFonts w:asciiTheme="majorBidi" w:eastAsia="Times New Roman" w:hAnsiTheme="majorBidi" w:cstheme="majorBidi"/>
          <w:color w:val="000000"/>
        </w:rPr>
        <w:t xml:space="preserve"> cost of service study</w:t>
      </w:r>
      <w:r w:rsidR="006C52CF" w:rsidRPr="003A27FB">
        <w:rPr>
          <w:rFonts w:asciiTheme="majorBidi" w:eastAsia="Times New Roman" w:hAnsiTheme="majorBidi" w:cstheme="majorBidi"/>
          <w:color w:val="000000"/>
        </w:rPr>
        <w:t>,</w:t>
      </w:r>
      <w:r w:rsidR="00334ADC" w:rsidRPr="003A27FB">
        <w:rPr>
          <w:rFonts w:asciiTheme="majorBidi" w:eastAsia="Times New Roman" w:hAnsiTheme="majorBidi" w:cstheme="majorBidi"/>
          <w:color w:val="000000"/>
        </w:rPr>
        <w:t xml:space="preserve"> Dr</w:t>
      </w:r>
      <w:r w:rsidRPr="003A27FB">
        <w:rPr>
          <w:rFonts w:asciiTheme="majorBidi" w:eastAsia="Times New Roman" w:hAnsiTheme="majorBidi" w:cstheme="majorBidi"/>
          <w:color w:val="000000"/>
        </w:rPr>
        <w:t xml:space="preserve">. Ahmad Faruqui will </w:t>
      </w:r>
      <w:r w:rsidR="00334ADC" w:rsidRPr="003A27FB">
        <w:rPr>
          <w:rFonts w:asciiTheme="majorBidi" w:eastAsia="Times New Roman" w:hAnsiTheme="majorBidi" w:cstheme="majorBidi"/>
          <w:color w:val="000000"/>
        </w:rPr>
        <w:t xml:space="preserve">discuss current rate design concepts and trends across the electric utility industry, and finally </w:t>
      </w:r>
      <w:bookmarkStart w:id="9" w:name="_Hlk12430742"/>
      <w:r w:rsidR="00334ADC" w:rsidRPr="003A27FB">
        <w:rPr>
          <w:rFonts w:asciiTheme="majorBidi" w:eastAsia="Times New Roman" w:hAnsiTheme="majorBidi" w:cstheme="majorBidi"/>
          <w:color w:val="000000"/>
        </w:rPr>
        <w:t xml:space="preserve">Mr. Larry Legg will </w:t>
      </w:r>
      <w:r w:rsidRPr="003A27FB">
        <w:rPr>
          <w:rFonts w:asciiTheme="majorBidi" w:eastAsia="Times New Roman" w:hAnsiTheme="majorBidi" w:cstheme="majorBidi"/>
          <w:color w:val="000000"/>
        </w:rPr>
        <w:t xml:space="preserve">present </w:t>
      </w:r>
      <w:r w:rsidR="00534483" w:rsidRPr="003A27FB">
        <w:rPr>
          <w:rFonts w:asciiTheme="majorBidi" w:eastAsia="Times New Roman" w:hAnsiTheme="majorBidi" w:cstheme="majorBidi"/>
          <w:color w:val="000000"/>
        </w:rPr>
        <w:t>Georgia Power’s</w:t>
      </w:r>
      <w:r w:rsidRPr="003A27FB">
        <w:rPr>
          <w:rFonts w:asciiTheme="majorBidi" w:eastAsia="Times New Roman" w:hAnsiTheme="majorBidi" w:cstheme="majorBidi"/>
          <w:color w:val="000000"/>
        </w:rPr>
        <w:t xml:space="preserve"> </w:t>
      </w:r>
      <w:r w:rsidR="00C142FF">
        <w:rPr>
          <w:rFonts w:asciiTheme="majorBidi" w:eastAsia="Times New Roman" w:hAnsiTheme="majorBidi" w:cstheme="majorBidi"/>
          <w:color w:val="000000"/>
        </w:rPr>
        <w:t>rate design proposal.</w:t>
      </w:r>
      <w:bookmarkEnd w:id="9"/>
    </w:p>
    <w:p w14:paraId="234652A1" w14:textId="77777777" w:rsidR="00360AE4" w:rsidRPr="003F17F8" w:rsidRDefault="00360AE4" w:rsidP="00AE0BF3">
      <w:pPr>
        <w:spacing w:line="360" w:lineRule="auto"/>
        <w:ind w:left="720"/>
        <w:jc w:val="both"/>
        <w:rPr>
          <w:rFonts w:asciiTheme="majorBidi" w:hAnsiTheme="majorBidi" w:cstheme="majorBidi"/>
        </w:rPr>
      </w:pPr>
    </w:p>
    <w:p w14:paraId="7AAEFDA8" w14:textId="77777777" w:rsidR="007E53A1" w:rsidRPr="005F19CB" w:rsidRDefault="007E53A1" w:rsidP="0060577C">
      <w:pPr>
        <w:keepNext/>
        <w:tabs>
          <w:tab w:val="left" w:pos="720"/>
        </w:tabs>
        <w:spacing w:line="360" w:lineRule="auto"/>
        <w:ind w:left="720" w:hanging="720"/>
        <w:jc w:val="both"/>
        <w:rPr>
          <w:rFonts w:ascii="Times New Roman Bold" w:hAnsi="Times New Roman Bold" w:hint="eastAsia"/>
          <w:b/>
          <w:caps/>
        </w:rPr>
      </w:pPr>
      <w:r w:rsidRPr="005F19CB">
        <w:rPr>
          <w:rFonts w:ascii="Times New Roman Bold" w:hAnsi="Times New Roman Bold"/>
          <w:b/>
          <w:caps/>
        </w:rPr>
        <w:t>Q.</w:t>
      </w:r>
      <w:r w:rsidRPr="005F19CB">
        <w:rPr>
          <w:rFonts w:ascii="Times New Roman Bold" w:hAnsi="Times New Roman Bold"/>
          <w:b/>
          <w:caps/>
        </w:rPr>
        <w:tab/>
        <w:t>Does this conclude your testimony?</w:t>
      </w:r>
    </w:p>
    <w:p w14:paraId="26461111" w14:textId="77777777" w:rsidR="007E53A1" w:rsidRDefault="007E53A1" w:rsidP="0060577C">
      <w:pPr>
        <w:keepNext/>
        <w:spacing w:line="360" w:lineRule="auto"/>
        <w:ind w:left="720" w:hanging="720"/>
        <w:jc w:val="both"/>
      </w:pPr>
      <w:r w:rsidRPr="005F19CB">
        <w:t>A.</w:t>
      </w:r>
      <w:r w:rsidRPr="005F19CB">
        <w:tab/>
        <w:t>Yes.</w:t>
      </w:r>
      <w:r>
        <w:t xml:space="preserve"> </w:t>
      </w:r>
    </w:p>
    <w:sectPr w:rsidR="007E53A1" w:rsidSect="007E53A1">
      <w:headerReference w:type="default" r:id="rId7"/>
      <w:footerReference w:type="even" r:id="rId8"/>
      <w:footerReference w:type="default" r:id="rId9"/>
      <w:headerReference w:type="first" r:id="rId10"/>
      <w:footerReference w:type="first" r:id="rId11"/>
      <w:pgSz w:w="12240" w:h="15840" w:code="1"/>
      <w:pgMar w:top="1728" w:right="1440" w:bottom="1728"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39C61" w14:textId="77777777" w:rsidR="004E3E14" w:rsidRDefault="004E3E14">
      <w:r>
        <w:separator/>
      </w:r>
    </w:p>
  </w:endnote>
  <w:endnote w:type="continuationSeparator" w:id="0">
    <w:p w14:paraId="240820A6" w14:textId="77777777" w:rsidR="004E3E14" w:rsidRDefault="004E3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D954B" w14:textId="77777777" w:rsidR="004E3E14" w:rsidRDefault="004E3E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2D651EE9" w14:textId="77777777" w:rsidR="004E3E14" w:rsidRDefault="004E3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5769216"/>
      <w:docPartObj>
        <w:docPartGallery w:val="Page Numbers (Bottom of Page)"/>
        <w:docPartUnique/>
      </w:docPartObj>
    </w:sdtPr>
    <w:sdtEndPr/>
    <w:sdtContent>
      <w:sdt>
        <w:sdtPr>
          <w:id w:val="1728636285"/>
          <w:docPartObj>
            <w:docPartGallery w:val="Page Numbers (Top of Page)"/>
            <w:docPartUnique/>
          </w:docPartObj>
        </w:sdtPr>
        <w:sdtEndPr/>
        <w:sdtContent>
          <w:p w14:paraId="3EB4D8E3" w14:textId="77777777" w:rsidR="004E3E14" w:rsidRDefault="004E3E14">
            <w:pPr>
              <w:pStyle w:val="Footer"/>
              <w:jc w:val="center"/>
            </w:pPr>
          </w:p>
          <w:p w14:paraId="3AF13FE7" w14:textId="71D9B0BC" w:rsidR="004E3E14" w:rsidRDefault="004E3E14" w:rsidP="0060577C">
            <w:pPr>
              <w:pStyle w:val="Footer"/>
              <w:jc w:val="center"/>
            </w:pPr>
            <w:r>
              <w:t xml:space="preserve">Direct Testimony of </w:t>
            </w:r>
            <w:r w:rsidR="002B7933">
              <w:t xml:space="preserve">W. </w:t>
            </w:r>
            <w:r>
              <w:t>Paul Bowers</w:t>
            </w:r>
          </w:p>
          <w:p w14:paraId="542D46AD" w14:textId="77777777" w:rsidR="004E3E14" w:rsidRDefault="004E3E14" w:rsidP="0060577C">
            <w:pPr>
              <w:pStyle w:val="Footer"/>
              <w:jc w:val="center"/>
            </w:pPr>
            <w:r>
              <w:t xml:space="preserve">On Behalf of Georgia Power Company </w:t>
            </w:r>
          </w:p>
          <w:p w14:paraId="67FD38CE" w14:textId="77777777" w:rsidR="004E3E14" w:rsidRDefault="004E3E14" w:rsidP="0060577C">
            <w:pPr>
              <w:pStyle w:val="Footer"/>
              <w:jc w:val="center"/>
            </w:pPr>
            <w:r>
              <w:t xml:space="preserve">Docket No. </w:t>
            </w:r>
            <w:r w:rsidRPr="0090208E">
              <w:t>42516</w:t>
            </w:r>
          </w:p>
          <w:p w14:paraId="78792E7E" w14:textId="77777777" w:rsidR="004E3E14" w:rsidRPr="0060577C" w:rsidRDefault="004E3E14">
            <w:pPr>
              <w:pStyle w:val="Footer"/>
              <w:jc w:val="center"/>
            </w:pPr>
            <w:r w:rsidRPr="0060577C">
              <w:t xml:space="preserve">Page </w:t>
            </w:r>
            <w:r w:rsidRPr="0060577C">
              <w:rPr>
                <w:bCs/>
                <w:sz w:val="24"/>
                <w:szCs w:val="24"/>
              </w:rPr>
              <w:fldChar w:fldCharType="begin"/>
            </w:r>
            <w:r w:rsidRPr="0060577C">
              <w:rPr>
                <w:bCs/>
              </w:rPr>
              <w:instrText xml:space="preserve"> PAGE </w:instrText>
            </w:r>
            <w:r w:rsidRPr="0060577C">
              <w:rPr>
                <w:bCs/>
                <w:sz w:val="24"/>
                <w:szCs w:val="24"/>
              </w:rPr>
              <w:fldChar w:fldCharType="separate"/>
            </w:r>
            <w:r w:rsidRPr="0060577C">
              <w:rPr>
                <w:bCs/>
                <w:noProof/>
              </w:rPr>
              <w:t>2</w:t>
            </w:r>
            <w:r w:rsidRPr="0060577C">
              <w:rPr>
                <w:bCs/>
                <w:sz w:val="24"/>
                <w:szCs w:val="24"/>
              </w:rPr>
              <w:fldChar w:fldCharType="end"/>
            </w:r>
            <w:r w:rsidRPr="0060577C">
              <w:t xml:space="preserve"> of </w:t>
            </w:r>
            <w:r w:rsidRPr="0060577C">
              <w:rPr>
                <w:bCs/>
                <w:sz w:val="24"/>
                <w:szCs w:val="24"/>
              </w:rPr>
              <w:fldChar w:fldCharType="begin"/>
            </w:r>
            <w:r w:rsidRPr="0060577C">
              <w:rPr>
                <w:bCs/>
              </w:rPr>
              <w:instrText xml:space="preserve"> NUMPAGES  </w:instrText>
            </w:r>
            <w:r w:rsidRPr="0060577C">
              <w:rPr>
                <w:bCs/>
                <w:sz w:val="24"/>
                <w:szCs w:val="24"/>
              </w:rPr>
              <w:fldChar w:fldCharType="separate"/>
            </w:r>
            <w:r w:rsidRPr="0060577C">
              <w:rPr>
                <w:bCs/>
                <w:noProof/>
              </w:rPr>
              <w:t>2</w:t>
            </w:r>
            <w:r w:rsidRPr="0060577C">
              <w:rPr>
                <w:bCs/>
                <w:sz w:val="24"/>
                <w:szCs w:val="24"/>
              </w:rPr>
              <w:fldChar w:fldCharType="end"/>
            </w:r>
          </w:p>
        </w:sdtContent>
      </w:sdt>
    </w:sdtContent>
  </w:sdt>
  <w:p w14:paraId="5BF99B0C" w14:textId="77777777" w:rsidR="004E3E14" w:rsidRPr="0060577C" w:rsidRDefault="004E3E14" w:rsidP="00B655D9">
    <w:pPr>
      <w:pStyle w:val="Footer"/>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2C5FE" w14:textId="77777777" w:rsidR="004E3E14" w:rsidRDefault="004E3E14">
    <w:pPr>
      <w:pStyle w:val="Footer"/>
      <w:jc w:val="center"/>
    </w:pPr>
    <w:r>
      <w:t>____________________________________________________________________________________________</w:t>
    </w:r>
  </w:p>
  <w:p w14:paraId="77D27CC2" w14:textId="77777777" w:rsidR="004E3E14" w:rsidRDefault="004E3E14">
    <w:pPr>
      <w:pStyle w:val="Footer"/>
      <w:jc w:val="center"/>
    </w:pPr>
    <w:r>
      <w:t>Direct Testimony of Ann P. Daiss</w:t>
    </w:r>
  </w:p>
  <w:p w14:paraId="6109165C" w14:textId="77777777" w:rsidR="004E3E14" w:rsidRDefault="004E3E14">
    <w:pPr>
      <w:pStyle w:val="Footer"/>
      <w:jc w:val="center"/>
    </w:pPr>
    <w:r>
      <w:t xml:space="preserve">On Behalf of Georgia Power Company </w:t>
    </w:r>
  </w:p>
  <w:p w14:paraId="34ABB93D" w14:textId="77777777" w:rsidR="004E3E14" w:rsidRDefault="004E3E14">
    <w:pPr>
      <w:pStyle w:val="Footer"/>
      <w:jc w:val="center"/>
    </w:pPr>
    <w:r>
      <w:t>Docket No. 23540-U</w:t>
    </w:r>
  </w:p>
  <w:p w14:paraId="3AEE2FA1" w14:textId="77777777" w:rsidR="004E3E14" w:rsidRDefault="004E3E14">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noProof/>
      </w:rPr>
      <w:t>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92EF0" w14:textId="77777777" w:rsidR="004E3E14" w:rsidRDefault="004E3E14">
      <w:r>
        <w:separator/>
      </w:r>
    </w:p>
  </w:footnote>
  <w:footnote w:type="continuationSeparator" w:id="0">
    <w:p w14:paraId="52653A07" w14:textId="77777777" w:rsidR="004E3E14" w:rsidRDefault="004E3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299FA" w14:textId="77777777" w:rsidR="004E3E14" w:rsidRDefault="004E3E14" w:rsidP="007E53A1">
    <w:pPr>
      <w:pStyle w:val="Header"/>
      <w:tabs>
        <w:tab w:val="clear" w:pos="8640"/>
        <w:tab w:val="right" w:pos="936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D67AE" w14:textId="77777777" w:rsidR="004E3E14" w:rsidRDefault="004E3E14">
    <w:pPr>
      <w:pStyle w:val="Header"/>
      <w:rPr>
        <w:b/>
      </w:rPr>
    </w:pPr>
    <w:r>
      <w:rPr>
        <w:b/>
      </w:rPr>
      <w:t xml:space="preserve">DRAFT </w:t>
    </w:r>
    <w:r>
      <w:rPr>
        <w:b/>
      </w:rPr>
      <w:tab/>
    </w:r>
  </w:p>
  <w:p w14:paraId="230F5BCC" w14:textId="77777777" w:rsidR="004E3E14" w:rsidRDefault="004E3E14">
    <w:pPr>
      <w:pStyle w:val="Header"/>
      <w:rPr>
        <w:b/>
      </w:rPr>
    </w:pPr>
    <w:r>
      <w:rPr>
        <w:b/>
      </w:rPr>
      <w:t>ATTORNEY WORK PRODUCT</w:t>
    </w:r>
    <w:r>
      <w:rPr>
        <w:b/>
      </w:rPr>
      <w:tab/>
    </w:r>
  </w:p>
  <w:p w14:paraId="1F4175EE" w14:textId="77777777" w:rsidR="004E3E14" w:rsidRDefault="004E3E14">
    <w:pPr>
      <w:pStyle w:val="Header"/>
      <w:rPr>
        <w:b/>
      </w:rPr>
    </w:pPr>
    <w:r>
      <w:rPr>
        <w:b/>
      </w:rPr>
      <w:t>CONFIDENTIAL AND PRIVILEGED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0298E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1F4F0E"/>
    <w:multiLevelType w:val="hybridMultilevel"/>
    <w:tmpl w:val="05F858CC"/>
    <w:lvl w:ilvl="0" w:tplc="27A681CA">
      <w:start w:val="1"/>
      <w:numFmt w:val="upperRoman"/>
      <w:lvlText w:val="%1."/>
      <w:lvlJc w:val="left"/>
      <w:pPr>
        <w:ind w:left="0" w:firstLine="0"/>
      </w:pPr>
      <w:rPr>
        <w:rFonts w:hint="default"/>
      </w:rPr>
    </w:lvl>
    <w:lvl w:ilvl="1" w:tplc="BF7EBD7A" w:tentative="1">
      <w:start w:val="1"/>
      <w:numFmt w:val="lowerLetter"/>
      <w:lvlText w:val="%2."/>
      <w:lvlJc w:val="left"/>
      <w:pPr>
        <w:ind w:left="1800" w:hanging="360"/>
      </w:pPr>
    </w:lvl>
    <w:lvl w:ilvl="2" w:tplc="737848A2" w:tentative="1">
      <w:start w:val="1"/>
      <w:numFmt w:val="lowerRoman"/>
      <w:lvlText w:val="%3."/>
      <w:lvlJc w:val="right"/>
      <w:pPr>
        <w:ind w:left="2520" w:hanging="180"/>
      </w:pPr>
    </w:lvl>
    <w:lvl w:ilvl="3" w:tplc="E63E95A4" w:tentative="1">
      <w:start w:val="1"/>
      <w:numFmt w:val="decimal"/>
      <w:lvlText w:val="%4."/>
      <w:lvlJc w:val="left"/>
      <w:pPr>
        <w:ind w:left="3240" w:hanging="360"/>
      </w:pPr>
    </w:lvl>
    <w:lvl w:ilvl="4" w:tplc="3BD2616A" w:tentative="1">
      <w:start w:val="1"/>
      <w:numFmt w:val="lowerLetter"/>
      <w:lvlText w:val="%5."/>
      <w:lvlJc w:val="left"/>
      <w:pPr>
        <w:ind w:left="3960" w:hanging="360"/>
      </w:pPr>
    </w:lvl>
    <w:lvl w:ilvl="5" w:tplc="AD761F6C" w:tentative="1">
      <w:start w:val="1"/>
      <w:numFmt w:val="lowerRoman"/>
      <w:lvlText w:val="%6."/>
      <w:lvlJc w:val="right"/>
      <w:pPr>
        <w:ind w:left="4680" w:hanging="180"/>
      </w:pPr>
    </w:lvl>
    <w:lvl w:ilvl="6" w:tplc="D69CAB8E" w:tentative="1">
      <w:start w:val="1"/>
      <w:numFmt w:val="decimal"/>
      <w:lvlText w:val="%7."/>
      <w:lvlJc w:val="left"/>
      <w:pPr>
        <w:ind w:left="5400" w:hanging="360"/>
      </w:pPr>
    </w:lvl>
    <w:lvl w:ilvl="7" w:tplc="03842D80" w:tentative="1">
      <w:start w:val="1"/>
      <w:numFmt w:val="lowerLetter"/>
      <w:lvlText w:val="%8."/>
      <w:lvlJc w:val="left"/>
      <w:pPr>
        <w:ind w:left="6120" w:hanging="360"/>
      </w:pPr>
    </w:lvl>
    <w:lvl w:ilvl="8" w:tplc="0B481A30" w:tentative="1">
      <w:start w:val="1"/>
      <w:numFmt w:val="lowerRoman"/>
      <w:lvlText w:val="%9."/>
      <w:lvlJc w:val="right"/>
      <w:pPr>
        <w:ind w:left="6840" w:hanging="180"/>
      </w:pPr>
    </w:lvl>
  </w:abstractNum>
  <w:abstractNum w:abstractNumId="2" w15:restartNumberingAfterBreak="0">
    <w:nsid w:val="17457618"/>
    <w:multiLevelType w:val="hybridMultilevel"/>
    <w:tmpl w:val="7EB08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553A8"/>
    <w:multiLevelType w:val="hybridMultilevel"/>
    <w:tmpl w:val="1478B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55F6367"/>
    <w:multiLevelType w:val="hybridMultilevel"/>
    <w:tmpl w:val="BD029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15C75"/>
    <w:multiLevelType w:val="hybridMultilevel"/>
    <w:tmpl w:val="5E2E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A27440"/>
    <w:multiLevelType w:val="singleLevel"/>
    <w:tmpl w:val="83BE81FA"/>
    <w:lvl w:ilvl="0">
      <w:start w:val="17"/>
      <w:numFmt w:val="upperLetter"/>
      <w:pStyle w:val="TestimonyQuestion"/>
      <w:lvlText w:val="%1."/>
      <w:lvlJc w:val="left"/>
      <w:pPr>
        <w:tabs>
          <w:tab w:val="num" w:pos="720"/>
        </w:tabs>
        <w:ind w:left="720" w:hanging="720"/>
      </w:pPr>
      <w:rPr>
        <w:rFonts w:hint="default"/>
      </w:rPr>
    </w:lvl>
  </w:abstractNum>
  <w:abstractNum w:abstractNumId="7" w15:restartNumberingAfterBreak="0">
    <w:nsid w:val="32B50CE9"/>
    <w:multiLevelType w:val="hybridMultilevel"/>
    <w:tmpl w:val="10CC9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3141C9"/>
    <w:multiLevelType w:val="hybridMultilevel"/>
    <w:tmpl w:val="1AE42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BF2650"/>
    <w:multiLevelType w:val="multilevel"/>
    <w:tmpl w:val="18BAFE18"/>
    <w:lvl w:ilvl="0">
      <w:start w:val="1"/>
      <w:numFmt w:val="upperRoman"/>
      <w:pStyle w:val="StandardL1"/>
      <w:suff w:val="nothing"/>
      <w:lvlText w:val="%1."/>
      <w:lvlJc w:val="left"/>
      <w:pPr>
        <w:ind w:left="0" w:firstLine="0"/>
      </w:pPr>
      <w:rPr>
        <w:rFonts w:hint="default"/>
        <w:b/>
        <w:i w:val="0"/>
        <w:caps/>
        <w:smallCaps w:val="0"/>
        <w:u w:val="none"/>
      </w:rPr>
    </w:lvl>
    <w:lvl w:ilvl="1">
      <w:start w:val="1"/>
      <w:numFmt w:val="decimal"/>
      <w:lvlRestart w:val="0"/>
      <w:pStyle w:val="StandardL2"/>
      <w:lvlText w:val="Q."/>
      <w:lvlJc w:val="left"/>
      <w:pPr>
        <w:tabs>
          <w:tab w:val="num" w:pos="720"/>
        </w:tabs>
        <w:ind w:left="720" w:hanging="720"/>
      </w:pPr>
      <w:rPr>
        <w:b/>
        <w:i w:val="0"/>
        <w:caps/>
        <w:smallCaps w:val="0"/>
        <w:u w:val="none"/>
      </w:rPr>
    </w:lvl>
    <w:lvl w:ilvl="2">
      <w:start w:val="1"/>
      <w:numFmt w:val="decimal"/>
      <w:lvlRestart w:val="0"/>
      <w:pStyle w:val="StandardL3"/>
      <w:lvlText w:val="A."/>
      <w:lvlJc w:val="left"/>
      <w:pPr>
        <w:tabs>
          <w:tab w:val="num" w:pos="2160"/>
        </w:tabs>
        <w:ind w:left="720" w:hanging="720"/>
      </w:pPr>
      <w:rPr>
        <w:b w:val="0"/>
        <w:i w:val="0"/>
        <w:caps w:val="0"/>
        <w:smallCaps w:val="0"/>
        <w:u w:val="none"/>
      </w:rPr>
    </w:lvl>
    <w:lvl w:ilvl="3">
      <w:start w:val="1"/>
      <w:numFmt w:val="bullet"/>
      <w:lvlText w:val="o"/>
      <w:lvlJc w:val="left"/>
      <w:pPr>
        <w:tabs>
          <w:tab w:val="num" w:pos="1620"/>
        </w:tabs>
        <w:ind w:left="-1260" w:firstLine="2160"/>
      </w:pPr>
      <w:rPr>
        <w:rFonts w:ascii="Courier New" w:hAnsi="Courier New" w:cs="Courier New" w:hint="default"/>
        <w:b w:val="0"/>
        <w:i w:val="0"/>
        <w:caps w:val="0"/>
        <w:smallCaps w:val="0"/>
        <w:u w:val="none"/>
      </w:rPr>
    </w:lvl>
    <w:lvl w:ilvl="4">
      <w:start w:val="1"/>
      <w:numFmt w:val="lowerLetter"/>
      <w:lvlText w:val="%5."/>
      <w:lvlJc w:val="left"/>
      <w:pPr>
        <w:tabs>
          <w:tab w:val="num" w:pos="3600"/>
        </w:tabs>
        <w:ind w:left="0" w:firstLine="2880"/>
      </w:pPr>
      <w:rPr>
        <w:rFonts w:hint="default"/>
        <w:b w:val="0"/>
        <w:i w:val="0"/>
        <w:caps w:val="0"/>
        <w:smallCaps w:val="0"/>
        <w:u w:val="none"/>
      </w:rPr>
    </w:lvl>
    <w:lvl w:ilvl="5">
      <w:start w:val="1"/>
      <w:numFmt w:val="lowerRoman"/>
      <w:lvlText w:val="%6."/>
      <w:lvlJc w:val="left"/>
      <w:pPr>
        <w:tabs>
          <w:tab w:val="num" w:pos="4320"/>
        </w:tabs>
        <w:ind w:left="0" w:firstLine="3600"/>
      </w:pPr>
      <w:rPr>
        <w:rFonts w:hint="default"/>
        <w:b w:val="0"/>
        <w:i w:val="0"/>
        <w:caps w:val="0"/>
        <w:smallCaps w:val="0"/>
        <w:u w:val="none"/>
      </w:rPr>
    </w:lvl>
    <w:lvl w:ilvl="6">
      <w:start w:val="1"/>
      <w:numFmt w:val="decimal"/>
      <w:lvlText w:val="%7)"/>
      <w:lvlJc w:val="left"/>
      <w:pPr>
        <w:tabs>
          <w:tab w:val="num" w:pos="5040"/>
        </w:tabs>
        <w:ind w:left="0" w:firstLine="4320"/>
      </w:pPr>
      <w:rPr>
        <w:rFonts w:hint="default"/>
        <w:b w:val="0"/>
        <w:i w:val="0"/>
        <w:caps w:val="0"/>
        <w:smallCaps w:val="0"/>
        <w:u w:val="none"/>
      </w:rPr>
    </w:lvl>
    <w:lvl w:ilvl="7">
      <w:start w:val="1"/>
      <w:numFmt w:val="lowerLetter"/>
      <w:lvlText w:val="%8)"/>
      <w:lvlJc w:val="left"/>
      <w:pPr>
        <w:tabs>
          <w:tab w:val="num" w:pos="5760"/>
        </w:tabs>
        <w:ind w:left="0" w:firstLine="5040"/>
      </w:pPr>
      <w:rPr>
        <w:rFonts w:hint="default"/>
        <w:b w:val="0"/>
        <w:i w:val="0"/>
        <w:caps w:val="0"/>
        <w:smallCaps w:val="0"/>
        <w:u w:val="none"/>
      </w:rPr>
    </w:lvl>
    <w:lvl w:ilvl="8">
      <w:start w:val="1"/>
      <w:numFmt w:val="lowerRoman"/>
      <w:lvlText w:val="%9)"/>
      <w:lvlJc w:val="left"/>
      <w:pPr>
        <w:tabs>
          <w:tab w:val="num" w:pos="6480"/>
        </w:tabs>
        <w:ind w:left="0" w:firstLine="5760"/>
      </w:pPr>
      <w:rPr>
        <w:rFonts w:hint="default"/>
        <w:b w:val="0"/>
        <w:i w:val="0"/>
        <w:caps w:val="0"/>
        <w:smallCaps w:val="0"/>
        <w:u w:val="none"/>
      </w:rPr>
    </w:lvl>
  </w:abstractNum>
  <w:abstractNum w:abstractNumId="10" w15:restartNumberingAfterBreak="0">
    <w:nsid w:val="3E4947ED"/>
    <w:multiLevelType w:val="hybridMultilevel"/>
    <w:tmpl w:val="0D10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E73265"/>
    <w:multiLevelType w:val="hybridMultilevel"/>
    <w:tmpl w:val="343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A32413"/>
    <w:multiLevelType w:val="multilevel"/>
    <w:tmpl w:val="2FB6CA4C"/>
    <w:lvl w:ilvl="0">
      <w:start w:val="1"/>
      <w:numFmt w:val="none"/>
      <w:pStyle w:val="Answer1"/>
      <w:lvlText w:val="A.%1"/>
      <w:lvlJc w:val="left"/>
      <w:pPr>
        <w:tabs>
          <w:tab w:val="num" w:pos="0"/>
        </w:tabs>
        <w:ind w:left="0" w:firstLine="0"/>
      </w:pPr>
      <w:rPr>
        <w:rFonts w:ascii="Times New Roman Bold" w:hAnsi="Times New Roman Bold" w:cs="Times New Roman"/>
        <w:b/>
        <w:i w:val="0"/>
        <w:caps w:val="0"/>
        <w:strike w:val="0"/>
        <w:dstrike w:val="0"/>
        <w:vanish w:val="0"/>
        <w:webHidden w:val="0"/>
        <w:color w:val="auto"/>
        <w:sz w:val="24"/>
        <w:u w:val="none"/>
        <w:effect w:val="none"/>
        <w:vertAlign w:val="baseline"/>
        <w:specVanish w:val="0"/>
      </w:rPr>
    </w:lvl>
    <w:lvl w:ilvl="1">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abstractNum>
  <w:abstractNum w:abstractNumId="13" w15:restartNumberingAfterBreak="0">
    <w:nsid w:val="791D2246"/>
    <w:multiLevelType w:val="hybridMultilevel"/>
    <w:tmpl w:val="33E8C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
  </w:num>
  <w:num w:numId="5">
    <w:abstractNumId w:val="6"/>
  </w:num>
  <w:num w:numId="6">
    <w:abstractNumId w:val="5"/>
  </w:num>
  <w:num w:numId="7">
    <w:abstractNumId w:val="13"/>
  </w:num>
  <w:num w:numId="8">
    <w:abstractNumId w:val="4"/>
  </w:num>
  <w:num w:numId="9">
    <w:abstractNumId w:val="11"/>
  </w:num>
  <w:num w:numId="10">
    <w:abstractNumId w:val="3"/>
  </w:num>
  <w:num w:numId="11">
    <w:abstractNumId w:val="10"/>
  </w:num>
  <w:num w:numId="12">
    <w:abstractNumId w:val="2"/>
  </w:num>
  <w:num w:numId="13">
    <w:abstractNumId w:val="7"/>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9124881"/>
    <w:docVar w:name="MPDocIDTemplate" w:val="%l| %n|v%v| %c|.%m"/>
    <w:docVar w:name="MPDocIDTemplateDefault" w:val="%l| %n|v%v| %c|.%m"/>
    <w:docVar w:name="NewDocStampType" w:val="7"/>
    <w:docVar w:name="zzmpTrailerDateFormat" w:val="0"/>
  </w:docVars>
  <w:rsids>
    <w:rsidRoot w:val="00AE53C8"/>
    <w:rsid w:val="00005361"/>
    <w:rsid w:val="00006936"/>
    <w:rsid w:val="00010671"/>
    <w:rsid w:val="0003104E"/>
    <w:rsid w:val="00031535"/>
    <w:rsid w:val="000338D9"/>
    <w:rsid w:val="00037F8B"/>
    <w:rsid w:val="00041112"/>
    <w:rsid w:val="00060294"/>
    <w:rsid w:val="000637B8"/>
    <w:rsid w:val="00077F17"/>
    <w:rsid w:val="0008471C"/>
    <w:rsid w:val="00086341"/>
    <w:rsid w:val="00090377"/>
    <w:rsid w:val="000A3BE3"/>
    <w:rsid w:val="000A5F03"/>
    <w:rsid w:val="000A6725"/>
    <w:rsid w:val="000B587B"/>
    <w:rsid w:val="000C3A39"/>
    <w:rsid w:val="000C5C2D"/>
    <w:rsid w:val="000D6ADB"/>
    <w:rsid w:val="000D70AE"/>
    <w:rsid w:val="000E5C51"/>
    <w:rsid w:val="00112567"/>
    <w:rsid w:val="001130BC"/>
    <w:rsid w:val="001155D8"/>
    <w:rsid w:val="00121A55"/>
    <w:rsid w:val="00126993"/>
    <w:rsid w:val="00134518"/>
    <w:rsid w:val="00134532"/>
    <w:rsid w:val="0013778E"/>
    <w:rsid w:val="0014318F"/>
    <w:rsid w:val="001439B9"/>
    <w:rsid w:val="0014733A"/>
    <w:rsid w:val="00155B3B"/>
    <w:rsid w:val="00155E66"/>
    <w:rsid w:val="00163C8E"/>
    <w:rsid w:val="00175824"/>
    <w:rsid w:val="00177EB2"/>
    <w:rsid w:val="001840B5"/>
    <w:rsid w:val="0018446F"/>
    <w:rsid w:val="00187944"/>
    <w:rsid w:val="0019012A"/>
    <w:rsid w:val="00191972"/>
    <w:rsid w:val="00197481"/>
    <w:rsid w:val="001B0C59"/>
    <w:rsid w:val="001B7D34"/>
    <w:rsid w:val="001C322D"/>
    <w:rsid w:val="001C7AD4"/>
    <w:rsid w:val="001D37D2"/>
    <w:rsid w:val="001D77EC"/>
    <w:rsid w:val="001E0B22"/>
    <w:rsid w:val="001E0D88"/>
    <w:rsid w:val="001E24B7"/>
    <w:rsid w:val="001E37FC"/>
    <w:rsid w:val="001E44D2"/>
    <w:rsid w:val="001F23F3"/>
    <w:rsid w:val="001F6800"/>
    <w:rsid w:val="002005B7"/>
    <w:rsid w:val="00201284"/>
    <w:rsid w:val="00201A4D"/>
    <w:rsid w:val="002124E3"/>
    <w:rsid w:val="0021474E"/>
    <w:rsid w:val="00217A85"/>
    <w:rsid w:val="0023384F"/>
    <w:rsid w:val="00233AAD"/>
    <w:rsid w:val="00240A3A"/>
    <w:rsid w:val="00246FDA"/>
    <w:rsid w:val="00252148"/>
    <w:rsid w:val="00253629"/>
    <w:rsid w:val="00257DE9"/>
    <w:rsid w:val="00262581"/>
    <w:rsid w:val="002667EF"/>
    <w:rsid w:val="00272A8F"/>
    <w:rsid w:val="00282830"/>
    <w:rsid w:val="00287DD9"/>
    <w:rsid w:val="00295C7A"/>
    <w:rsid w:val="002B20AE"/>
    <w:rsid w:val="002B2ECD"/>
    <w:rsid w:val="002B3338"/>
    <w:rsid w:val="002B7933"/>
    <w:rsid w:val="002C05C4"/>
    <w:rsid w:val="002C0C2F"/>
    <w:rsid w:val="002C258C"/>
    <w:rsid w:val="002C38BA"/>
    <w:rsid w:val="002C52B7"/>
    <w:rsid w:val="002C7560"/>
    <w:rsid w:val="002D17D4"/>
    <w:rsid w:val="002D5762"/>
    <w:rsid w:val="002D61C0"/>
    <w:rsid w:val="002E27DD"/>
    <w:rsid w:val="002E2913"/>
    <w:rsid w:val="002E5A07"/>
    <w:rsid w:val="002E6D3F"/>
    <w:rsid w:val="002F1F99"/>
    <w:rsid w:val="002F3EA8"/>
    <w:rsid w:val="00302D24"/>
    <w:rsid w:val="00304DB2"/>
    <w:rsid w:val="00330DFE"/>
    <w:rsid w:val="0033264C"/>
    <w:rsid w:val="00334ADC"/>
    <w:rsid w:val="0034018D"/>
    <w:rsid w:val="00342415"/>
    <w:rsid w:val="003459A7"/>
    <w:rsid w:val="0034628C"/>
    <w:rsid w:val="0035089A"/>
    <w:rsid w:val="0035098C"/>
    <w:rsid w:val="00350ACE"/>
    <w:rsid w:val="00356C96"/>
    <w:rsid w:val="00360AE4"/>
    <w:rsid w:val="003638C5"/>
    <w:rsid w:val="00363E6B"/>
    <w:rsid w:val="00365A70"/>
    <w:rsid w:val="00385563"/>
    <w:rsid w:val="00385FA2"/>
    <w:rsid w:val="0039007E"/>
    <w:rsid w:val="00394B8B"/>
    <w:rsid w:val="00395543"/>
    <w:rsid w:val="00397FF0"/>
    <w:rsid w:val="003A1B89"/>
    <w:rsid w:val="003A23E7"/>
    <w:rsid w:val="003A27FB"/>
    <w:rsid w:val="003B1854"/>
    <w:rsid w:val="003C1275"/>
    <w:rsid w:val="003C4FB4"/>
    <w:rsid w:val="003D366A"/>
    <w:rsid w:val="003D4E47"/>
    <w:rsid w:val="003E0DDD"/>
    <w:rsid w:val="003F179F"/>
    <w:rsid w:val="003F17F8"/>
    <w:rsid w:val="003F2AAE"/>
    <w:rsid w:val="003F7498"/>
    <w:rsid w:val="00410A67"/>
    <w:rsid w:val="0041114F"/>
    <w:rsid w:val="004122C0"/>
    <w:rsid w:val="00424875"/>
    <w:rsid w:val="00463E65"/>
    <w:rsid w:val="00465515"/>
    <w:rsid w:val="0046553F"/>
    <w:rsid w:val="004721F8"/>
    <w:rsid w:val="00473725"/>
    <w:rsid w:val="004A2366"/>
    <w:rsid w:val="004A2D5D"/>
    <w:rsid w:val="004B2039"/>
    <w:rsid w:val="004B3190"/>
    <w:rsid w:val="004B4FDC"/>
    <w:rsid w:val="004C258D"/>
    <w:rsid w:val="004C3499"/>
    <w:rsid w:val="004C34DD"/>
    <w:rsid w:val="004C3762"/>
    <w:rsid w:val="004C5436"/>
    <w:rsid w:val="004D1B5D"/>
    <w:rsid w:val="004D4890"/>
    <w:rsid w:val="004E3E14"/>
    <w:rsid w:val="005063FB"/>
    <w:rsid w:val="005170ED"/>
    <w:rsid w:val="005227E9"/>
    <w:rsid w:val="00526C55"/>
    <w:rsid w:val="00526EA8"/>
    <w:rsid w:val="00534483"/>
    <w:rsid w:val="00534F06"/>
    <w:rsid w:val="005378DB"/>
    <w:rsid w:val="00537F49"/>
    <w:rsid w:val="00542780"/>
    <w:rsid w:val="00543505"/>
    <w:rsid w:val="00545982"/>
    <w:rsid w:val="00546504"/>
    <w:rsid w:val="00562905"/>
    <w:rsid w:val="00564E55"/>
    <w:rsid w:val="005718B3"/>
    <w:rsid w:val="00577A8E"/>
    <w:rsid w:val="00582CD9"/>
    <w:rsid w:val="005907C8"/>
    <w:rsid w:val="005B7DEC"/>
    <w:rsid w:val="005C4E75"/>
    <w:rsid w:val="005C5BBC"/>
    <w:rsid w:val="005D3C4B"/>
    <w:rsid w:val="005E0E1C"/>
    <w:rsid w:val="005F5E2B"/>
    <w:rsid w:val="0060143B"/>
    <w:rsid w:val="00603E27"/>
    <w:rsid w:val="00604F5F"/>
    <w:rsid w:val="0060577C"/>
    <w:rsid w:val="00610C41"/>
    <w:rsid w:val="00613CD7"/>
    <w:rsid w:val="00617C7A"/>
    <w:rsid w:val="006222D5"/>
    <w:rsid w:val="00627016"/>
    <w:rsid w:val="0062740A"/>
    <w:rsid w:val="00631829"/>
    <w:rsid w:val="00657F92"/>
    <w:rsid w:val="006726C0"/>
    <w:rsid w:val="00677EDB"/>
    <w:rsid w:val="00693914"/>
    <w:rsid w:val="006A05D0"/>
    <w:rsid w:val="006A2474"/>
    <w:rsid w:val="006A6897"/>
    <w:rsid w:val="006C52CF"/>
    <w:rsid w:val="006D2B79"/>
    <w:rsid w:val="006D2DE9"/>
    <w:rsid w:val="006D5559"/>
    <w:rsid w:val="006E1A41"/>
    <w:rsid w:val="006E3FB3"/>
    <w:rsid w:val="006F58EB"/>
    <w:rsid w:val="006F70E4"/>
    <w:rsid w:val="0070028F"/>
    <w:rsid w:val="00700E56"/>
    <w:rsid w:val="0070677C"/>
    <w:rsid w:val="007073A6"/>
    <w:rsid w:val="0070788D"/>
    <w:rsid w:val="0071263C"/>
    <w:rsid w:val="0072182F"/>
    <w:rsid w:val="007323CF"/>
    <w:rsid w:val="00736F89"/>
    <w:rsid w:val="00743B3E"/>
    <w:rsid w:val="00750492"/>
    <w:rsid w:val="00772913"/>
    <w:rsid w:val="00776BB9"/>
    <w:rsid w:val="00780CB1"/>
    <w:rsid w:val="00784741"/>
    <w:rsid w:val="00785C82"/>
    <w:rsid w:val="00787CA2"/>
    <w:rsid w:val="007921DA"/>
    <w:rsid w:val="00792BCF"/>
    <w:rsid w:val="00796E1C"/>
    <w:rsid w:val="007A3531"/>
    <w:rsid w:val="007B0B57"/>
    <w:rsid w:val="007C718B"/>
    <w:rsid w:val="007D28FE"/>
    <w:rsid w:val="007D5B4B"/>
    <w:rsid w:val="007E53A1"/>
    <w:rsid w:val="008001FB"/>
    <w:rsid w:val="008025A5"/>
    <w:rsid w:val="00805B44"/>
    <w:rsid w:val="00807E51"/>
    <w:rsid w:val="00814580"/>
    <w:rsid w:val="00821267"/>
    <w:rsid w:val="00821CBC"/>
    <w:rsid w:val="00826EEB"/>
    <w:rsid w:val="00827744"/>
    <w:rsid w:val="00830A03"/>
    <w:rsid w:val="00831AC1"/>
    <w:rsid w:val="008368D5"/>
    <w:rsid w:val="008837CD"/>
    <w:rsid w:val="00884956"/>
    <w:rsid w:val="00887546"/>
    <w:rsid w:val="008A269E"/>
    <w:rsid w:val="008A2BC9"/>
    <w:rsid w:val="008A3D6B"/>
    <w:rsid w:val="008B0FDD"/>
    <w:rsid w:val="008C5534"/>
    <w:rsid w:val="008E35E7"/>
    <w:rsid w:val="008E5718"/>
    <w:rsid w:val="008F674F"/>
    <w:rsid w:val="008F7AFC"/>
    <w:rsid w:val="009000E9"/>
    <w:rsid w:val="00911E6E"/>
    <w:rsid w:val="00913F90"/>
    <w:rsid w:val="009141B3"/>
    <w:rsid w:val="009238DD"/>
    <w:rsid w:val="009270BD"/>
    <w:rsid w:val="009311A0"/>
    <w:rsid w:val="0093720D"/>
    <w:rsid w:val="00944338"/>
    <w:rsid w:val="009462C1"/>
    <w:rsid w:val="00947DAB"/>
    <w:rsid w:val="009553FF"/>
    <w:rsid w:val="00957990"/>
    <w:rsid w:val="009620C0"/>
    <w:rsid w:val="00962A8D"/>
    <w:rsid w:val="009664DC"/>
    <w:rsid w:val="00976A75"/>
    <w:rsid w:val="00982593"/>
    <w:rsid w:val="00983C9F"/>
    <w:rsid w:val="00993974"/>
    <w:rsid w:val="009975CA"/>
    <w:rsid w:val="009B34B9"/>
    <w:rsid w:val="009C109F"/>
    <w:rsid w:val="009C1F4C"/>
    <w:rsid w:val="009D1854"/>
    <w:rsid w:val="009D656C"/>
    <w:rsid w:val="009E5E52"/>
    <w:rsid w:val="00A047A6"/>
    <w:rsid w:val="00A069F7"/>
    <w:rsid w:val="00A11A47"/>
    <w:rsid w:val="00A16166"/>
    <w:rsid w:val="00A20D2D"/>
    <w:rsid w:val="00A3203E"/>
    <w:rsid w:val="00A3703C"/>
    <w:rsid w:val="00A41FF2"/>
    <w:rsid w:val="00A42D0D"/>
    <w:rsid w:val="00A51C7F"/>
    <w:rsid w:val="00A667C2"/>
    <w:rsid w:val="00A7062B"/>
    <w:rsid w:val="00A82937"/>
    <w:rsid w:val="00A84ADC"/>
    <w:rsid w:val="00A87F14"/>
    <w:rsid w:val="00AA1949"/>
    <w:rsid w:val="00AB48A0"/>
    <w:rsid w:val="00AC0FD8"/>
    <w:rsid w:val="00AC7D32"/>
    <w:rsid w:val="00AE0BF3"/>
    <w:rsid w:val="00AE371D"/>
    <w:rsid w:val="00AE44A4"/>
    <w:rsid w:val="00AE4D68"/>
    <w:rsid w:val="00AE53C8"/>
    <w:rsid w:val="00AF2243"/>
    <w:rsid w:val="00AF61FE"/>
    <w:rsid w:val="00B0264E"/>
    <w:rsid w:val="00B0554D"/>
    <w:rsid w:val="00B138C1"/>
    <w:rsid w:val="00B14749"/>
    <w:rsid w:val="00B164D5"/>
    <w:rsid w:val="00B219BE"/>
    <w:rsid w:val="00B219D2"/>
    <w:rsid w:val="00B23D01"/>
    <w:rsid w:val="00B24946"/>
    <w:rsid w:val="00B26005"/>
    <w:rsid w:val="00B27F88"/>
    <w:rsid w:val="00B31B75"/>
    <w:rsid w:val="00B339D8"/>
    <w:rsid w:val="00B3693D"/>
    <w:rsid w:val="00B46900"/>
    <w:rsid w:val="00B51A67"/>
    <w:rsid w:val="00B51AEA"/>
    <w:rsid w:val="00B538C3"/>
    <w:rsid w:val="00B57C14"/>
    <w:rsid w:val="00B655D9"/>
    <w:rsid w:val="00B66E86"/>
    <w:rsid w:val="00B726EF"/>
    <w:rsid w:val="00B75092"/>
    <w:rsid w:val="00B75DA7"/>
    <w:rsid w:val="00B80C9C"/>
    <w:rsid w:val="00B8387B"/>
    <w:rsid w:val="00B849AD"/>
    <w:rsid w:val="00B87902"/>
    <w:rsid w:val="00B90F81"/>
    <w:rsid w:val="00B94D7C"/>
    <w:rsid w:val="00BA18ED"/>
    <w:rsid w:val="00BA274F"/>
    <w:rsid w:val="00BA4D1D"/>
    <w:rsid w:val="00BA5C9D"/>
    <w:rsid w:val="00BB0816"/>
    <w:rsid w:val="00BB1990"/>
    <w:rsid w:val="00BB29AF"/>
    <w:rsid w:val="00BD37C0"/>
    <w:rsid w:val="00BD6C2C"/>
    <w:rsid w:val="00BD752E"/>
    <w:rsid w:val="00BE77F6"/>
    <w:rsid w:val="00BF0E71"/>
    <w:rsid w:val="00BF2A66"/>
    <w:rsid w:val="00C023AA"/>
    <w:rsid w:val="00C06E23"/>
    <w:rsid w:val="00C142FF"/>
    <w:rsid w:val="00C20AA2"/>
    <w:rsid w:val="00C2103E"/>
    <w:rsid w:val="00C249F1"/>
    <w:rsid w:val="00C2501F"/>
    <w:rsid w:val="00C25379"/>
    <w:rsid w:val="00C26354"/>
    <w:rsid w:val="00C33E2E"/>
    <w:rsid w:val="00C36894"/>
    <w:rsid w:val="00C426F1"/>
    <w:rsid w:val="00C512F5"/>
    <w:rsid w:val="00C56CF8"/>
    <w:rsid w:val="00C618ED"/>
    <w:rsid w:val="00C70169"/>
    <w:rsid w:val="00C76688"/>
    <w:rsid w:val="00C90564"/>
    <w:rsid w:val="00C91D51"/>
    <w:rsid w:val="00C92692"/>
    <w:rsid w:val="00C97600"/>
    <w:rsid w:val="00CA68EB"/>
    <w:rsid w:val="00CB0F1D"/>
    <w:rsid w:val="00CC34BF"/>
    <w:rsid w:val="00CC38A8"/>
    <w:rsid w:val="00CC5142"/>
    <w:rsid w:val="00CD29A4"/>
    <w:rsid w:val="00CD5CF4"/>
    <w:rsid w:val="00CD61D1"/>
    <w:rsid w:val="00CE18D6"/>
    <w:rsid w:val="00CE2E73"/>
    <w:rsid w:val="00CF157D"/>
    <w:rsid w:val="00D02855"/>
    <w:rsid w:val="00D10063"/>
    <w:rsid w:val="00D25AFE"/>
    <w:rsid w:val="00D31135"/>
    <w:rsid w:val="00D33B11"/>
    <w:rsid w:val="00D36219"/>
    <w:rsid w:val="00D37593"/>
    <w:rsid w:val="00D3771F"/>
    <w:rsid w:val="00D4580E"/>
    <w:rsid w:val="00D47842"/>
    <w:rsid w:val="00D52743"/>
    <w:rsid w:val="00D7303C"/>
    <w:rsid w:val="00D86060"/>
    <w:rsid w:val="00D87F2B"/>
    <w:rsid w:val="00D96E46"/>
    <w:rsid w:val="00DA22A0"/>
    <w:rsid w:val="00DA42D1"/>
    <w:rsid w:val="00DB083A"/>
    <w:rsid w:val="00DB55DC"/>
    <w:rsid w:val="00DB5B7F"/>
    <w:rsid w:val="00DC0D50"/>
    <w:rsid w:val="00DC40C0"/>
    <w:rsid w:val="00DD32F9"/>
    <w:rsid w:val="00DD47BF"/>
    <w:rsid w:val="00DD4965"/>
    <w:rsid w:val="00DE6A52"/>
    <w:rsid w:val="00DF62E8"/>
    <w:rsid w:val="00E137E4"/>
    <w:rsid w:val="00E21AC5"/>
    <w:rsid w:val="00E26FE6"/>
    <w:rsid w:val="00E34718"/>
    <w:rsid w:val="00E45B4C"/>
    <w:rsid w:val="00E621D3"/>
    <w:rsid w:val="00E62443"/>
    <w:rsid w:val="00E9154D"/>
    <w:rsid w:val="00EA459F"/>
    <w:rsid w:val="00EC1291"/>
    <w:rsid w:val="00EC7A36"/>
    <w:rsid w:val="00ED6E7D"/>
    <w:rsid w:val="00EE020F"/>
    <w:rsid w:val="00EE37D6"/>
    <w:rsid w:val="00EE4194"/>
    <w:rsid w:val="00F144E2"/>
    <w:rsid w:val="00F152C8"/>
    <w:rsid w:val="00F17D71"/>
    <w:rsid w:val="00F43AB8"/>
    <w:rsid w:val="00F51A20"/>
    <w:rsid w:val="00F51B74"/>
    <w:rsid w:val="00F631D5"/>
    <w:rsid w:val="00F7250A"/>
    <w:rsid w:val="00F72A13"/>
    <w:rsid w:val="00F83DD3"/>
    <w:rsid w:val="00F9120D"/>
    <w:rsid w:val="00F9289A"/>
    <w:rsid w:val="00FA529F"/>
    <w:rsid w:val="00FA7324"/>
    <w:rsid w:val="00FC011B"/>
    <w:rsid w:val="00FC77FA"/>
    <w:rsid w:val="00FD5BBF"/>
    <w:rsid w:val="00FE1A1A"/>
    <w:rsid w:val="00FE3529"/>
    <w:rsid w:val="00FF3BF1"/>
    <w:rsid w:val="00FF6BA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90B1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6F47"/>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qFormat/>
    <w:rsid w:val="00746F47"/>
    <w:pPr>
      <w:spacing w:before="240" w:after="120"/>
      <w:jc w:val="center"/>
      <w:outlineLvl w:val="0"/>
    </w:pPr>
    <w:rPr>
      <w:rFonts w:cs="Arial"/>
      <w:b/>
      <w:bCs/>
      <w:caps/>
      <w:kern w:val="28"/>
      <w:szCs w:val="32"/>
      <w:u w:val="single"/>
    </w:rPr>
  </w:style>
  <w:style w:type="paragraph" w:styleId="BlockText">
    <w:name w:val="Block Text"/>
    <w:aliases w:val="Block Indent"/>
    <w:basedOn w:val="Normal"/>
    <w:rsid w:val="00746F47"/>
    <w:pPr>
      <w:spacing w:before="120" w:after="120"/>
      <w:ind w:left="1440" w:right="1440"/>
    </w:pPr>
  </w:style>
  <w:style w:type="paragraph" w:styleId="BodyText">
    <w:name w:val="Body Text"/>
    <w:basedOn w:val="Normal"/>
    <w:link w:val="BodyTextChar"/>
    <w:rsid w:val="00746F47"/>
    <w:pPr>
      <w:spacing w:before="120" w:after="120"/>
      <w:ind w:firstLine="720"/>
      <w:jc w:val="both"/>
    </w:pPr>
  </w:style>
  <w:style w:type="paragraph" w:styleId="Closing">
    <w:name w:val="Closing"/>
    <w:basedOn w:val="Normal"/>
    <w:rsid w:val="00746F47"/>
    <w:pPr>
      <w:ind w:left="4320"/>
    </w:pPr>
  </w:style>
  <w:style w:type="paragraph" w:styleId="Signature">
    <w:name w:val="Signature"/>
    <w:basedOn w:val="Normal"/>
    <w:rsid w:val="00746F47"/>
    <w:pPr>
      <w:ind w:left="4320"/>
    </w:pPr>
  </w:style>
  <w:style w:type="paragraph" w:styleId="Subtitle">
    <w:name w:val="Subtitle"/>
    <w:basedOn w:val="Normal"/>
    <w:qFormat/>
    <w:rsid w:val="00746F47"/>
    <w:pPr>
      <w:spacing w:before="120" w:after="240"/>
      <w:outlineLvl w:val="1"/>
    </w:pPr>
    <w:rPr>
      <w:rFonts w:cs="Arial"/>
      <w:b/>
    </w:rPr>
  </w:style>
  <w:style w:type="paragraph" w:styleId="EnvelopeAddress">
    <w:name w:val="envelope address"/>
    <w:basedOn w:val="Normal"/>
    <w:rsid w:val="00746F47"/>
    <w:pPr>
      <w:framePr w:w="7920" w:h="1980" w:hRule="exact" w:hSpace="180" w:wrap="auto" w:hAnchor="page" w:xAlign="center" w:yAlign="bottom"/>
      <w:ind w:left="2880"/>
    </w:pPr>
    <w:rPr>
      <w:rFonts w:cs="Arial"/>
    </w:rPr>
  </w:style>
  <w:style w:type="paragraph" w:styleId="EnvelopeReturn">
    <w:name w:val="envelope return"/>
    <w:basedOn w:val="Normal"/>
    <w:rsid w:val="00746F47"/>
    <w:rPr>
      <w:rFonts w:cs="Arial"/>
      <w:sz w:val="20"/>
      <w:szCs w:val="20"/>
    </w:rPr>
  </w:style>
  <w:style w:type="paragraph" w:customStyle="1" w:styleId="BodyTextDSFirstLine10Justified">
    <w:name w:val="Body Text DS First Line (1.0) Justified"/>
    <w:basedOn w:val="Normal"/>
    <w:rsid w:val="00746F47"/>
    <w:pPr>
      <w:spacing w:line="480" w:lineRule="auto"/>
      <w:ind w:firstLine="1440"/>
      <w:jc w:val="both"/>
    </w:pPr>
    <w:rPr>
      <w:lang w:eastAsia="en-US"/>
    </w:rPr>
  </w:style>
  <w:style w:type="paragraph" w:customStyle="1" w:styleId="BodyTextSSFirstLine5Justified">
    <w:name w:val="Body Text SS First Line (.5) Justified"/>
    <w:basedOn w:val="Normal"/>
    <w:rsid w:val="00746F47"/>
    <w:pPr>
      <w:spacing w:before="120" w:after="120"/>
      <w:ind w:firstLine="720"/>
      <w:jc w:val="both"/>
    </w:pPr>
  </w:style>
  <w:style w:type="paragraph" w:customStyle="1" w:styleId="BodyTextDSFirstLine5Justified">
    <w:name w:val="Body Text DS First Line (.5) Justified"/>
    <w:basedOn w:val="Normal"/>
    <w:rsid w:val="00746F47"/>
    <w:pPr>
      <w:spacing w:line="480" w:lineRule="auto"/>
      <w:ind w:firstLine="720"/>
      <w:jc w:val="both"/>
    </w:pPr>
  </w:style>
  <w:style w:type="paragraph" w:customStyle="1" w:styleId="BodyTextDSFirstLine5">
    <w:name w:val="Body Text DS First Line (.5)"/>
    <w:basedOn w:val="Normal"/>
    <w:rsid w:val="00746F47"/>
    <w:pPr>
      <w:spacing w:line="480" w:lineRule="auto"/>
      <w:ind w:firstLine="720"/>
    </w:pPr>
  </w:style>
  <w:style w:type="paragraph" w:customStyle="1" w:styleId="BodyTextDSFirstLine10">
    <w:name w:val="Body Text DS First Line (1.0)"/>
    <w:basedOn w:val="Normal"/>
    <w:rsid w:val="00746F47"/>
    <w:pPr>
      <w:spacing w:line="480" w:lineRule="auto"/>
      <w:ind w:firstLine="1440"/>
    </w:pPr>
  </w:style>
  <w:style w:type="paragraph" w:customStyle="1" w:styleId="BodyTextSSFirstLine5">
    <w:name w:val="Body Text SS First Line (.5 )"/>
    <w:basedOn w:val="Normal"/>
    <w:rsid w:val="00746F47"/>
    <w:pPr>
      <w:spacing w:before="120" w:after="120"/>
      <w:ind w:firstLine="720"/>
    </w:pPr>
  </w:style>
  <w:style w:type="paragraph" w:customStyle="1" w:styleId="BodyTextSSFirstLine10">
    <w:name w:val="Body Text SS First Line (1.0)"/>
    <w:basedOn w:val="Normal"/>
    <w:rsid w:val="00746F47"/>
    <w:pPr>
      <w:spacing w:before="120" w:after="120"/>
      <w:ind w:firstLine="1440"/>
    </w:pPr>
  </w:style>
  <w:style w:type="paragraph" w:customStyle="1" w:styleId="BodyTextSSFirstLine10Justified">
    <w:name w:val="Body Text SS First Line (1.0) Justified"/>
    <w:basedOn w:val="Normal"/>
    <w:rsid w:val="00746F47"/>
    <w:pPr>
      <w:spacing w:before="120" w:after="120"/>
      <w:ind w:firstLine="1440"/>
      <w:jc w:val="both"/>
    </w:pPr>
    <w:rPr>
      <w:lang w:eastAsia="en-US"/>
    </w:rPr>
  </w:style>
  <w:style w:type="paragraph" w:customStyle="1" w:styleId="Heading">
    <w:name w:val="Heading"/>
    <w:basedOn w:val="Normal"/>
    <w:rsid w:val="00746F47"/>
    <w:pPr>
      <w:spacing w:after="240"/>
      <w:jc w:val="center"/>
    </w:pPr>
    <w:rPr>
      <w:b/>
      <w:caps/>
      <w:u w:val="single"/>
    </w:rPr>
  </w:style>
  <w:style w:type="paragraph" w:customStyle="1" w:styleId="BodyTextLevel3">
    <w:name w:val="Body Text Level 3"/>
    <w:basedOn w:val="BodyText"/>
    <w:rsid w:val="00746F47"/>
    <w:pPr>
      <w:ind w:firstLine="2160"/>
    </w:pPr>
  </w:style>
  <w:style w:type="paragraph" w:styleId="Footer">
    <w:name w:val="footer"/>
    <w:basedOn w:val="Normal"/>
    <w:link w:val="FooterChar"/>
    <w:uiPriority w:val="99"/>
    <w:rsid w:val="00746F47"/>
    <w:pPr>
      <w:tabs>
        <w:tab w:val="center" w:pos="4320"/>
        <w:tab w:val="right" w:pos="8640"/>
      </w:tabs>
    </w:pPr>
    <w:rPr>
      <w:sz w:val="20"/>
      <w:szCs w:val="20"/>
      <w:lang w:eastAsia="en-US"/>
    </w:rPr>
  </w:style>
  <w:style w:type="character" w:styleId="PageNumber">
    <w:name w:val="page number"/>
    <w:basedOn w:val="DefaultParagraphFont"/>
    <w:rsid w:val="00746F47"/>
    <w:rPr>
      <w:rFonts w:cs="Times New Roman"/>
    </w:rPr>
  </w:style>
  <w:style w:type="paragraph" w:styleId="Header">
    <w:name w:val="header"/>
    <w:basedOn w:val="Normal"/>
    <w:link w:val="HeaderChar"/>
    <w:uiPriority w:val="99"/>
    <w:rsid w:val="00746F47"/>
    <w:pPr>
      <w:tabs>
        <w:tab w:val="center" w:pos="4320"/>
        <w:tab w:val="right" w:pos="8640"/>
      </w:tabs>
    </w:pPr>
    <w:rPr>
      <w:sz w:val="20"/>
      <w:szCs w:val="20"/>
      <w:lang w:eastAsia="en-US"/>
    </w:rPr>
  </w:style>
  <w:style w:type="paragraph" w:styleId="NormalWeb">
    <w:name w:val="Normal (Web)"/>
    <w:basedOn w:val="Normal"/>
    <w:uiPriority w:val="99"/>
    <w:rsid w:val="00746F47"/>
    <w:pPr>
      <w:spacing w:before="100" w:beforeAutospacing="1" w:after="100" w:afterAutospacing="1"/>
    </w:pPr>
    <w:rPr>
      <w:lang w:eastAsia="en-US"/>
    </w:rPr>
  </w:style>
  <w:style w:type="character" w:styleId="LineNumber">
    <w:name w:val="line number"/>
    <w:basedOn w:val="DefaultParagraphFont"/>
    <w:rsid w:val="00746F47"/>
    <w:rPr>
      <w:rFonts w:cs="Times New Roman"/>
    </w:rPr>
  </w:style>
  <w:style w:type="character" w:customStyle="1" w:styleId="BodyTextChar">
    <w:name w:val="Body Text Char"/>
    <w:basedOn w:val="DefaultParagraphFont"/>
    <w:link w:val="BodyText"/>
    <w:rsid w:val="00746F47"/>
    <w:rPr>
      <w:rFonts w:eastAsia="SimSun" w:cs="Times New Roman"/>
      <w:sz w:val="24"/>
      <w:szCs w:val="24"/>
      <w:lang w:val="en-US" w:eastAsia="zh-CN" w:bidi="ar-SA"/>
    </w:rPr>
  </w:style>
  <w:style w:type="character" w:customStyle="1" w:styleId="Char">
    <w:name w:val="Char"/>
    <w:basedOn w:val="DefaultParagraphFont"/>
    <w:rsid w:val="00746F47"/>
    <w:rPr>
      <w:rFonts w:eastAsia="SimSun" w:cs="Times New Roman"/>
      <w:sz w:val="24"/>
      <w:szCs w:val="24"/>
      <w:lang w:val="en-US" w:eastAsia="zh-CN" w:bidi="ar-SA"/>
    </w:rPr>
  </w:style>
  <w:style w:type="paragraph" w:styleId="BalloonText">
    <w:name w:val="Balloon Text"/>
    <w:basedOn w:val="Normal"/>
    <w:semiHidden/>
    <w:rsid w:val="00746F47"/>
    <w:rPr>
      <w:rFonts w:ascii="Tahoma" w:hAnsi="Tahoma" w:cs="Tahoma"/>
      <w:sz w:val="16"/>
      <w:szCs w:val="16"/>
    </w:rPr>
  </w:style>
  <w:style w:type="character" w:customStyle="1" w:styleId="Char1">
    <w:name w:val="Char1"/>
    <w:basedOn w:val="DefaultParagraphFont"/>
    <w:rsid w:val="00746F47"/>
    <w:rPr>
      <w:rFonts w:eastAsia="SimSun" w:cs="Times New Roman"/>
      <w:sz w:val="24"/>
      <w:szCs w:val="24"/>
      <w:lang w:val="en-US" w:eastAsia="zh-CN" w:bidi="ar-SA"/>
    </w:rPr>
  </w:style>
  <w:style w:type="paragraph" w:styleId="BodyTextIndent">
    <w:name w:val="Body Text Indent"/>
    <w:basedOn w:val="Normal"/>
    <w:rsid w:val="00746F47"/>
    <w:pPr>
      <w:spacing w:after="120"/>
      <w:ind w:left="360"/>
    </w:pPr>
  </w:style>
  <w:style w:type="character" w:customStyle="1" w:styleId="msoins0">
    <w:name w:val="msoins"/>
    <w:basedOn w:val="DefaultParagraphFont"/>
    <w:rsid w:val="00746F47"/>
    <w:rPr>
      <w:rFonts w:cs="Times New Roman"/>
    </w:rPr>
  </w:style>
  <w:style w:type="character" w:styleId="CommentReference">
    <w:name w:val="annotation reference"/>
    <w:basedOn w:val="DefaultParagraphFont"/>
    <w:semiHidden/>
    <w:rsid w:val="003D15DF"/>
    <w:rPr>
      <w:rFonts w:cs="Times New Roman"/>
      <w:sz w:val="16"/>
      <w:szCs w:val="16"/>
    </w:rPr>
  </w:style>
  <w:style w:type="paragraph" w:styleId="CommentText">
    <w:name w:val="annotation text"/>
    <w:basedOn w:val="Normal"/>
    <w:link w:val="CommentTextChar"/>
    <w:rsid w:val="003D15DF"/>
    <w:rPr>
      <w:sz w:val="20"/>
      <w:szCs w:val="20"/>
    </w:rPr>
  </w:style>
  <w:style w:type="character" w:customStyle="1" w:styleId="CommentTextChar">
    <w:name w:val="Comment Text Char"/>
    <w:basedOn w:val="DefaultParagraphFont"/>
    <w:link w:val="CommentText"/>
    <w:rsid w:val="003D15DF"/>
    <w:rPr>
      <w:rFonts w:cs="Times New Roman"/>
      <w:lang w:eastAsia="zh-CN"/>
    </w:rPr>
  </w:style>
  <w:style w:type="paragraph" w:styleId="CommentSubject">
    <w:name w:val="annotation subject"/>
    <w:basedOn w:val="CommentText"/>
    <w:next w:val="CommentText"/>
    <w:link w:val="CommentSubjectChar"/>
    <w:semiHidden/>
    <w:rsid w:val="003D15DF"/>
    <w:rPr>
      <w:b/>
      <w:bCs/>
    </w:rPr>
  </w:style>
  <w:style w:type="character" w:customStyle="1" w:styleId="CommentSubjectChar">
    <w:name w:val="Comment Subject Char"/>
    <w:basedOn w:val="CommentTextChar"/>
    <w:link w:val="CommentSubject"/>
    <w:rsid w:val="003D15DF"/>
    <w:rPr>
      <w:rFonts w:cs="Times New Roman"/>
      <w:b/>
      <w:bCs/>
      <w:lang w:eastAsia="zh-CN"/>
    </w:rPr>
  </w:style>
  <w:style w:type="paragraph" w:styleId="BodyTextIndent3">
    <w:name w:val="Body Text Indent 3"/>
    <w:basedOn w:val="Normal"/>
    <w:link w:val="BodyTextIndent3Char"/>
    <w:rsid w:val="0002001D"/>
    <w:pPr>
      <w:spacing w:after="120"/>
      <w:ind w:left="360"/>
    </w:pPr>
    <w:rPr>
      <w:sz w:val="16"/>
      <w:szCs w:val="16"/>
    </w:rPr>
  </w:style>
  <w:style w:type="character" w:customStyle="1" w:styleId="BodyTextIndent3Char">
    <w:name w:val="Body Text Indent 3 Char"/>
    <w:basedOn w:val="DefaultParagraphFont"/>
    <w:link w:val="BodyTextIndent3"/>
    <w:rsid w:val="0002001D"/>
    <w:rPr>
      <w:rFonts w:cs="Times New Roman"/>
      <w:sz w:val="16"/>
      <w:szCs w:val="16"/>
      <w:lang w:eastAsia="zh-CN"/>
    </w:rPr>
  </w:style>
  <w:style w:type="paragraph" w:styleId="BodyTextIndent2">
    <w:name w:val="Body Text Indent 2"/>
    <w:basedOn w:val="Normal"/>
    <w:link w:val="BodyTextIndent2Char"/>
    <w:rsid w:val="00D35BCF"/>
    <w:pPr>
      <w:spacing w:after="120" w:line="480" w:lineRule="auto"/>
      <w:ind w:left="360"/>
    </w:pPr>
    <w:rPr>
      <w:sz w:val="20"/>
      <w:szCs w:val="20"/>
      <w:lang w:eastAsia="en-US"/>
    </w:rPr>
  </w:style>
  <w:style w:type="character" w:customStyle="1" w:styleId="BodyTextIndent2Char">
    <w:name w:val="Body Text Indent 2 Char"/>
    <w:basedOn w:val="DefaultParagraphFont"/>
    <w:link w:val="BodyTextIndent2"/>
    <w:rsid w:val="00D35BCF"/>
    <w:rPr>
      <w:rFonts w:eastAsia="Times New Roman" w:cs="Times New Roman"/>
    </w:rPr>
  </w:style>
  <w:style w:type="paragraph" w:styleId="ListParagraph">
    <w:name w:val="List Paragraph"/>
    <w:basedOn w:val="Normal"/>
    <w:uiPriority w:val="34"/>
    <w:qFormat/>
    <w:rsid w:val="002D1F31"/>
    <w:pPr>
      <w:ind w:left="720"/>
      <w:contextualSpacing/>
    </w:pPr>
  </w:style>
  <w:style w:type="character" w:customStyle="1" w:styleId="zzmpTrailerItem">
    <w:name w:val="zzmpTrailerItem"/>
    <w:basedOn w:val="DefaultParagraphFont"/>
    <w:rsid w:val="00086341"/>
    <w:rPr>
      <w:rFonts w:ascii="Times New Roman" w:hAnsi="Times New Roman" w:cs="Times New Roman"/>
      <w:dstrike w:val="0"/>
      <w:noProof/>
      <w:color w:val="auto"/>
      <w:spacing w:val="0"/>
      <w:position w:val="0"/>
      <w:sz w:val="16"/>
      <w:szCs w:val="16"/>
      <w:u w:val="none"/>
      <w:effect w:val="none"/>
      <w:vertAlign w:val="baseline"/>
    </w:rPr>
  </w:style>
  <w:style w:type="paragraph" w:styleId="FootnoteText">
    <w:name w:val="footnote text"/>
    <w:basedOn w:val="Normal"/>
    <w:semiHidden/>
    <w:rsid w:val="002867B3"/>
    <w:rPr>
      <w:sz w:val="20"/>
      <w:szCs w:val="20"/>
    </w:rPr>
  </w:style>
  <w:style w:type="character" w:styleId="FootnoteReference">
    <w:name w:val="footnote reference"/>
    <w:basedOn w:val="DefaultParagraphFont"/>
    <w:semiHidden/>
    <w:rsid w:val="002867B3"/>
    <w:rPr>
      <w:vertAlign w:val="superscript"/>
    </w:rPr>
  </w:style>
  <w:style w:type="character" w:styleId="Emphasis">
    <w:name w:val="Emphasis"/>
    <w:basedOn w:val="DefaultParagraphFont"/>
    <w:qFormat/>
    <w:rsid w:val="002867B3"/>
    <w:rPr>
      <w:i/>
      <w:iCs/>
    </w:rPr>
  </w:style>
  <w:style w:type="paragraph" w:styleId="Revision">
    <w:name w:val="Revision"/>
    <w:hidden/>
    <w:uiPriority w:val="99"/>
    <w:semiHidden/>
    <w:rsid w:val="00C03199"/>
    <w:rPr>
      <w:sz w:val="24"/>
      <w:szCs w:val="24"/>
      <w:lang w:eastAsia="zh-CN"/>
    </w:rPr>
  </w:style>
  <w:style w:type="character" w:customStyle="1" w:styleId="HeaderChar">
    <w:name w:val="Header Char"/>
    <w:basedOn w:val="DefaultParagraphFont"/>
    <w:link w:val="Header"/>
    <w:uiPriority w:val="99"/>
    <w:rsid w:val="00AF0B79"/>
  </w:style>
  <w:style w:type="character" w:customStyle="1" w:styleId="Answer1Char">
    <w:name w:val="Answer 1 Char"/>
    <w:basedOn w:val="DefaultParagraphFont"/>
    <w:link w:val="Answer1"/>
    <w:locked/>
    <w:rsid w:val="00C40BB0"/>
    <w:rPr>
      <w:rFonts w:ascii="MS Mincho" w:eastAsia="MS Mincho"/>
      <w:szCs w:val="24"/>
    </w:rPr>
  </w:style>
  <w:style w:type="paragraph" w:customStyle="1" w:styleId="Answer1">
    <w:name w:val="Answer 1"/>
    <w:basedOn w:val="Normal"/>
    <w:next w:val="BodyText"/>
    <w:link w:val="Answer1Char"/>
    <w:rsid w:val="00C40BB0"/>
    <w:pPr>
      <w:numPr>
        <w:numId w:val="2"/>
      </w:numPr>
      <w:spacing w:after="240" w:line="360" w:lineRule="auto"/>
      <w:outlineLvl w:val="0"/>
    </w:pPr>
    <w:rPr>
      <w:rFonts w:ascii="MS Mincho" w:eastAsia="MS Mincho"/>
      <w:sz w:val="20"/>
      <w:lang w:eastAsia="en-US"/>
    </w:rPr>
  </w:style>
  <w:style w:type="paragraph" w:styleId="ListBullet">
    <w:name w:val="List Bullet"/>
    <w:basedOn w:val="Normal"/>
    <w:uiPriority w:val="99"/>
    <w:unhideWhenUsed/>
    <w:rsid w:val="000070EF"/>
    <w:pPr>
      <w:numPr>
        <w:numId w:val="3"/>
      </w:numPr>
      <w:contextualSpacing/>
    </w:pPr>
  </w:style>
  <w:style w:type="paragraph" w:customStyle="1" w:styleId="StandardL1">
    <w:name w:val="Standard_L1"/>
    <w:basedOn w:val="Normal"/>
    <w:next w:val="StandardL2"/>
    <w:rsid w:val="00EE387E"/>
    <w:pPr>
      <w:keepNext/>
      <w:numPr>
        <w:numId w:val="4"/>
      </w:numPr>
      <w:spacing w:after="240"/>
      <w:jc w:val="center"/>
      <w:outlineLvl w:val="0"/>
    </w:pPr>
    <w:rPr>
      <w:rFonts w:eastAsia="MS Mincho"/>
      <w:b/>
      <w:szCs w:val="20"/>
      <w:lang w:eastAsia="en-US"/>
    </w:rPr>
  </w:style>
  <w:style w:type="paragraph" w:customStyle="1" w:styleId="StandardL2">
    <w:name w:val="Standard_L2"/>
    <w:basedOn w:val="StandardL1"/>
    <w:next w:val="StandardL3"/>
    <w:link w:val="StandardL2Char"/>
    <w:rsid w:val="00EE387E"/>
    <w:pPr>
      <w:keepNext w:val="0"/>
      <w:numPr>
        <w:ilvl w:val="1"/>
      </w:numPr>
      <w:spacing w:after="0" w:line="360" w:lineRule="auto"/>
      <w:jc w:val="left"/>
      <w:outlineLvl w:val="1"/>
    </w:pPr>
  </w:style>
  <w:style w:type="paragraph" w:customStyle="1" w:styleId="StandardL3">
    <w:name w:val="Standard_L3"/>
    <w:basedOn w:val="StandardL2"/>
    <w:next w:val="StandardL2"/>
    <w:link w:val="StandardL3Char"/>
    <w:rsid w:val="00EE387E"/>
    <w:pPr>
      <w:numPr>
        <w:ilvl w:val="2"/>
      </w:numPr>
      <w:tabs>
        <w:tab w:val="clear" w:pos="2160"/>
      </w:tabs>
      <w:ind w:left="2160" w:hanging="180"/>
      <w:outlineLvl w:val="2"/>
    </w:pPr>
    <w:rPr>
      <w:b w:val="0"/>
    </w:rPr>
  </w:style>
  <w:style w:type="character" w:customStyle="1" w:styleId="StandardL3Char">
    <w:name w:val="Standard_L3 Char"/>
    <w:basedOn w:val="DefaultParagraphFont"/>
    <w:link w:val="StandardL3"/>
    <w:rsid w:val="00EE387E"/>
    <w:rPr>
      <w:rFonts w:eastAsia="MS Mincho"/>
      <w:sz w:val="24"/>
    </w:rPr>
  </w:style>
  <w:style w:type="character" w:customStyle="1" w:styleId="StandardL2Char">
    <w:name w:val="Standard_L2 Char"/>
    <w:basedOn w:val="DefaultParagraphFont"/>
    <w:link w:val="StandardL2"/>
    <w:rsid w:val="00EE387E"/>
    <w:rPr>
      <w:rFonts w:eastAsia="MS Mincho"/>
      <w:b/>
      <w:sz w:val="24"/>
    </w:rPr>
  </w:style>
  <w:style w:type="table" w:customStyle="1" w:styleId="ListTable2-Accent11">
    <w:name w:val="List Table 2 - Accent 11"/>
    <w:basedOn w:val="TableNormal"/>
    <w:uiPriority w:val="47"/>
    <w:rsid w:val="00EE387E"/>
    <w:rPr>
      <w:rFonts w:asciiTheme="minorHAnsi" w:eastAsiaTheme="minorHAnsi" w:hAnsiTheme="minorHAnsi" w:cstheme="minorBid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Indent">
    <w:name w:val="Indent"/>
    <w:basedOn w:val="Normal"/>
    <w:qFormat/>
    <w:rsid w:val="00EE387E"/>
    <w:pPr>
      <w:widowControl w:val="0"/>
      <w:tabs>
        <w:tab w:val="num" w:pos="720"/>
      </w:tabs>
      <w:spacing w:after="240" w:line="360" w:lineRule="auto"/>
      <w:ind w:left="720"/>
      <w:jc w:val="both"/>
      <w:outlineLvl w:val="1"/>
    </w:pPr>
    <w:rPr>
      <w:rFonts w:eastAsia="Times New Roman"/>
      <w:szCs w:val="20"/>
      <w:lang w:eastAsia="en-US"/>
    </w:rPr>
  </w:style>
  <w:style w:type="paragraph" w:customStyle="1" w:styleId="hang">
    <w:name w:val="hang"/>
    <w:basedOn w:val="Normal"/>
    <w:qFormat/>
    <w:rsid w:val="00EE387E"/>
    <w:pPr>
      <w:widowControl w:val="0"/>
      <w:spacing w:after="240" w:line="360" w:lineRule="auto"/>
      <w:ind w:left="720" w:hanging="720"/>
      <w:jc w:val="both"/>
      <w:outlineLvl w:val="1"/>
    </w:pPr>
    <w:rPr>
      <w:rFonts w:eastAsia="Times New Roman"/>
      <w:szCs w:val="20"/>
      <w:lang w:eastAsia="en-US"/>
    </w:rPr>
  </w:style>
  <w:style w:type="paragraph" w:customStyle="1" w:styleId="TestimonyQuestion">
    <w:name w:val="Testimony Question"/>
    <w:basedOn w:val="Normal"/>
    <w:rsid w:val="00134518"/>
    <w:pPr>
      <w:numPr>
        <w:numId w:val="5"/>
      </w:numPr>
      <w:spacing w:line="480" w:lineRule="auto"/>
      <w:jc w:val="both"/>
    </w:pPr>
    <w:rPr>
      <w:rFonts w:eastAsia="Times New Roman"/>
      <w:b/>
      <w:sz w:val="28"/>
      <w:szCs w:val="28"/>
      <w:lang w:eastAsia="en-US"/>
    </w:rPr>
  </w:style>
  <w:style w:type="character" w:customStyle="1" w:styleId="FooterChar">
    <w:name w:val="Footer Char"/>
    <w:basedOn w:val="DefaultParagraphFont"/>
    <w:link w:val="Footer"/>
    <w:uiPriority w:val="99"/>
    <w:rsid w:val="0060577C"/>
  </w:style>
  <w:style w:type="character" w:customStyle="1" w:styleId="s7">
    <w:name w:val="s7"/>
    <w:basedOn w:val="DefaultParagraphFont"/>
    <w:rsid w:val="00FD5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15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4618</Words>
  <Characters>25443</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2019-06-26T21:03:00Z</dcterms:created>
  <dcterms:modified xsi:type="dcterms:W3CDTF">2019-06-27T16:05:00Z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